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F33" w:rsidRPr="00314F33" w:rsidRDefault="00314F33" w:rsidP="00314F33">
      <w:pPr>
        <w:ind w:firstLineChars="200" w:firstLine="562"/>
        <w:jc w:val="center"/>
        <w:rPr>
          <w:rFonts w:ascii="宋体" w:hAnsi="宋体"/>
          <w:b/>
          <w:color w:val="000000"/>
          <w:sz w:val="28"/>
          <w:szCs w:val="28"/>
        </w:rPr>
      </w:pPr>
      <w:r w:rsidRPr="00314F33">
        <w:rPr>
          <w:rFonts w:ascii="宋体" w:hAnsi="宋体" w:hint="eastAsia"/>
          <w:b/>
          <w:color w:val="000000"/>
          <w:sz w:val="28"/>
          <w:szCs w:val="28"/>
        </w:rPr>
        <w:t>德邦基金管理有限公司关于旗下</w:t>
      </w:r>
      <w:r w:rsidR="00E95C98">
        <w:rPr>
          <w:rFonts w:ascii="宋体" w:hAnsi="宋体" w:hint="eastAsia"/>
          <w:b/>
          <w:color w:val="000000"/>
          <w:sz w:val="28"/>
          <w:szCs w:val="28"/>
        </w:rPr>
        <w:t>证券投资基金估值</w:t>
      </w:r>
      <w:r w:rsidR="00DB5FC0">
        <w:rPr>
          <w:rFonts w:ascii="宋体" w:hAnsi="宋体" w:hint="eastAsia"/>
          <w:b/>
          <w:color w:val="000000"/>
          <w:sz w:val="28"/>
          <w:szCs w:val="28"/>
        </w:rPr>
        <w:t>调整</w:t>
      </w:r>
      <w:r w:rsidR="006A5B2D">
        <w:rPr>
          <w:rFonts w:ascii="宋体" w:hAnsi="宋体" w:hint="eastAsia"/>
          <w:b/>
          <w:color w:val="000000"/>
          <w:sz w:val="28"/>
          <w:szCs w:val="28"/>
        </w:rPr>
        <w:t>情况</w:t>
      </w:r>
      <w:r w:rsidRPr="00314F33">
        <w:rPr>
          <w:rFonts w:ascii="宋体" w:hAnsi="宋体" w:hint="eastAsia"/>
          <w:b/>
          <w:color w:val="000000"/>
          <w:sz w:val="28"/>
          <w:szCs w:val="28"/>
        </w:rPr>
        <w:t>的公告</w:t>
      </w:r>
    </w:p>
    <w:p w:rsidR="00314F33" w:rsidRPr="00DB5FC0" w:rsidRDefault="00314F33" w:rsidP="00314F33">
      <w:pPr>
        <w:spacing w:line="360" w:lineRule="auto"/>
        <w:ind w:firstLineChars="200" w:firstLine="420"/>
        <w:rPr>
          <w:rFonts w:ascii="Verdana" w:hAnsi="Verdana"/>
          <w:color w:val="000000"/>
          <w:szCs w:val="21"/>
        </w:rPr>
      </w:pPr>
    </w:p>
    <w:p w:rsidR="00E95C98" w:rsidRPr="00E95C98" w:rsidRDefault="00E95C98" w:rsidP="00987BB3">
      <w:pPr>
        <w:spacing w:line="360" w:lineRule="auto"/>
        <w:ind w:firstLineChars="200" w:firstLine="480"/>
        <w:rPr>
          <w:rFonts w:ascii="仿宋" w:eastAsia="仿宋" w:hAnsi="仿宋" w:hint="eastAsia"/>
          <w:color w:val="000000"/>
          <w:sz w:val="24"/>
        </w:rPr>
      </w:pPr>
      <w:r w:rsidRPr="00E95C98">
        <w:rPr>
          <w:rFonts w:ascii="仿宋" w:eastAsia="仿宋" w:hAnsi="仿宋" w:hint="eastAsia"/>
          <w:color w:val="000000"/>
          <w:sz w:val="24"/>
        </w:rPr>
        <w:t>根据中国证监会《中国证监会关于证券投资基金估值业务的指导意见》</w:t>
      </w:r>
      <w:r w:rsidR="00C5373B">
        <w:rPr>
          <w:rFonts w:ascii="仿宋" w:eastAsia="仿宋" w:hAnsi="仿宋" w:hint="eastAsia"/>
          <w:color w:val="000000"/>
          <w:sz w:val="24"/>
        </w:rPr>
        <w:t>（中国</w:t>
      </w:r>
      <w:r w:rsidRPr="00E95C98">
        <w:rPr>
          <w:rFonts w:ascii="仿宋" w:eastAsia="仿宋" w:hAnsi="仿宋" w:hint="eastAsia"/>
          <w:color w:val="000000"/>
          <w:sz w:val="24"/>
        </w:rPr>
        <w:t>证券监督管理委员会公告[2017]13 号）的相关要求，</w:t>
      </w:r>
      <w:r w:rsidR="007327FB" w:rsidRPr="007327FB">
        <w:rPr>
          <w:rFonts w:ascii="仿宋" w:eastAsia="仿宋" w:hAnsi="仿宋" w:hint="eastAsia"/>
          <w:color w:val="000000"/>
          <w:sz w:val="24"/>
        </w:rPr>
        <w:t>为使持有长期停牌股票的基金估值更加公平、合理，更好的维护持有人利益</w:t>
      </w:r>
      <w:r w:rsidRPr="00E95C98">
        <w:rPr>
          <w:rFonts w:ascii="仿宋" w:eastAsia="仿宋" w:hAnsi="仿宋" w:hint="eastAsia"/>
          <w:color w:val="000000"/>
          <w:sz w:val="24"/>
        </w:rPr>
        <w:t>，经与基金托管人协商一致，自20</w:t>
      </w:r>
      <w:r>
        <w:rPr>
          <w:rFonts w:ascii="仿宋" w:eastAsia="仿宋" w:hAnsi="仿宋" w:hint="eastAsia"/>
          <w:color w:val="000000"/>
          <w:sz w:val="24"/>
        </w:rPr>
        <w:t>2</w:t>
      </w:r>
      <w:r w:rsidR="007327FB">
        <w:rPr>
          <w:rFonts w:ascii="仿宋" w:eastAsia="仿宋" w:hAnsi="仿宋" w:hint="eastAsia"/>
          <w:color w:val="000000"/>
          <w:sz w:val="24"/>
        </w:rPr>
        <w:t>5</w:t>
      </w:r>
      <w:r w:rsidRPr="00E95C98">
        <w:rPr>
          <w:rFonts w:ascii="仿宋" w:eastAsia="仿宋" w:hAnsi="仿宋" w:hint="eastAsia"/>
          <w:color w:val="000000"/>
          <w:sz w:val="24"/>
        </w:rPr>
        <w:t>年</w:t>
      </w:r>
      <w:r w:rsidR="00F53639">
        <w:rPr>
          <w:rFonts w:ascii="仿宋" w:eastAsia="仿宋" w:hAnsi="仿宋" w:hint="eastAsia"/>
          <w:color w:val="000000"/>
          <w:sz w:val="24"/>
        </w:rPr>
        <w:t>8</w:t>
      </w:r>
      <w:r w:rsidRPr="00E95C98">
        <w:rPr>
          <w:rFonts w:ascii="仿宋" w:eastAsia="仿宋" w:hAnsi="仿宋" w:hint="eastAsia"/>
          <w:color w:val="000000"/>
          <w:sz w:val="24"/>
        </w:rPr>
        <w:t xml:space="preserve"> 月</w:t>
      </w:r>
      <w:r w:rsidR="00F53639">
        <w:rPr>
          <w:rFonts w:ascii="仿宋" w:eastAsia="仿宋" w:hAnsi="仿宋"/>
          <w:color w:val="000000"/>
          <w:sz w:val="24"/>
        </w:rPr>
        <w:t>18</w:t>
      </w:r>
      <w:r w:rsidRPr="00E95C98">
        <w:rPr>
          <w:rFonts w:ascii="仿宋" w:eastAsia="仿宋" w:hAnsi="仿宋" w:hint="eastAsia"/>
          <w:color w:val="000000"/>
          <w:sz w:val="24"/>
        </w:rPr>
        <w:t xml:space="preserve"> 日起，德邦基金管理有限公司（以下简称“本管理人”）对</w:t>
      </w:r>
      <w:r w:rsidR="007327FB" w:rsidRPr="007327FB">
        <w:rPr>
          <w:rFonts w:ascii="仿宋" w:eastAsia="仿宋" w:hAnsi="仿宋" w:hint="eastAsia"/>
          <w:color w:val="000000"/>
          <w:sz w:val="24"/>
        </w:rPr>
        <w:t>旗下基金所持有的</w:t>
      </w:r>
      <w:r w:rsidR="007327FB">
        <w:rPr>
          <w:rFonts w:ascii="仿宋" w:eastAsia="仿宋" w:hAnsi="仿宋" w:hint="eastAsia"/>
          <w:color w:val="000000"/>
          <w:sz w:val="24"/>
        </w:rPr>
        <w:t>“</w:t>
      </w:r>
      <w:r w:rsidR="00F53639">
        <w:rPr>
          <w:rFonts w:ascii="仿宋" w:eastAsia="仿宋" w:hAnsi="仿宋" w:hint="eastAsia"/>
          <w:color w:val="000000"/>
          <w:sz w:val="24"/>
        </w:rPr>
        <w:t>陕西华达</w:t>
      </w:r>
      <w:r w:rsidR="007327FB">
        <w:rPr>
          <w:rFonts w:ascii="仿宋" w:eastAsia="仿宋" w:hAnsi="仿宋" w:hint="eastAsia"/>
          <w:color w:val="000000"/>
          <w:sz w:val="24"/>
        </w:rPr>
        <w:t>”</w:t>
      </w:r>
      <w:r w:rsidR="007327FB" w:rsidRPr="007327FB">
        <w:rPr>
          <w:rFonts w:ascii="仿宋" w:eastAsia="仿宋" w:hAnsi="仿宋" w:hint="eastAsia"/>
          <w:color w:val="000000"/>
          <w:sz w:val="24"/>
        </w:rPr>
        <w:t>（股票代码：</w:t>
      </w:r>
      <w:r w:rsidR="00F53639">
        <w:rPr>
          <w:rFonts w:ascii="仿宋" w:eastAsia="仿宋" w:hAnsi="仿宋"/>
          <w:color w:val="000000"/>
          <w:sz w:val="24"/>
        </w:rPr>
        <w:t>301517</w:t>
      </w:r>
      <w:r w:rsidR="007327FB" w:rsidRPr="007327FB">
        <w:rPr>
          <w:rFonts w:ascii="仿宋" w:eastAsia="仿宋" w:hAnsi="仿宋" w:hint="eastAsia"/>
          <w:color w:val="000000"/>
          <w:sz w:val="24"/>
        </w:rPr>
        <w:t>）采用“指数收益法”予以估值。在该股票复牌且其交易体现了活跃市场交易特征后，按市场价格进行估值，届时不再另行公告。敬请投资者予以关注。</w:t>
      </w:r>
    </w:p>
    <w:p w:rsidR="00314F33" w:rsidRPr="00AF3296" w:rsidRDefault="00314F33" w:rsidP="00AF3296">
      <w:pPr>
        <w:spacing w:line="360" w:lineRule="auto"/>
        <w:ind w:firstLineChars="200" w:firstLine="480"/>
        <w:rPr>
          <w:rFonts w:ascii="仿宋" w:eastAsia="仿宋" w:hAnsi="仿宋"/>
          <w:color w:val="000000"/>
          <w:sz w:val="24"/>
        </w:rPr>
      </w:pPr>
      <w:r w:rsidRPr="00AF3296">
        <w:rPr>
          <w:rFonts w:ascii="仿宋" w:eastAsia="仿宋" w:hAnsi="仿宋" w:hint="eastAsia"/>
          <w:color w:val="000000"/>
          <w:sz w:val="24"/>
        </w:rPr>
        <w:t>投资者可通过以下途径咨询有关详情：</w:t>
      </w:r>
    </w:p>
    <w:p w:rsidR="003E46A8" w:rsidRPr="00AF3296" w:rsidRDefault="00314F33" w:rsidP="00AF3296">
      <w:pPr>
        <w:spacing w:line="360" w:lineRule="auto"/>
        <w:ind w:firstLineChars="200" w:firstLine="480"/>
        <w:rPr>
          <w:rFonts w:ascii="仿宋" w:eastAsia="仿宋" w:hAnsi="仿宋"/>
          <w:color w:val="000000"/>
          <w:sz w:val="24"/>
        </w:rPr>
      </w:pPr>
      <w:r w:rsidRPr="00AF3296">
        <w:rPr>
          <w:rFonts w:ascii="仿宋" w:eastAsia="仿宋" w:hAnsi="仿宋" w:hint="eastAsia"/>
          <w:color w:val="000000"/>
          <w:sz w:val="24"/>
        </w:rPr>
        <w:t>德邦基金管理有限公司网站：</w:t>
      </w:r>
      <w:r w:rsidR="003E46A8" w:rsidRPr="00AF3296">
        <w:rPr>
          <w:rFonts w:ascii="仿宋" w:eastAsia="仿宋" w:hAnsi="仿宋" w:hint="eastAsia"/>
          <w:color w:val="000000"/>
          <w:sz w:val="24"/>
        </w:rPr>
        <w:t>www.dbfund.com.cn</w:t>
      </w:r>
    </w:p>
    <w:p w:rsidR="00314F33" w:rsidRPr="00AF3296" w:rsidRDefault="00ED518D" w:rsidP="00ED518D">
      <w:pPr>
        <w:spacing w:line="360" w:lineRule="auto"/>
        <w:ind w:firstLineChars="200" w:firstLine="480"/>
        <w:rPr>
          <w:rFonts w:ascii="仿宋" w:eastAsia="仿宋" w:hAnsi="仿宋"/>
          <w:color w:val="000000"/>
          <w:sz w:val="24"/>
        </w:rPr>
      </w:pPr>
      <w:r w:rsidRPr="00ED518D">
        <w:rPr>
          <w:rFonts w:ascii="仿宋" w:eastAsia="仿宋" w:hAnsi="仿宋" w:hint="eastAsia"/>
          <w:color w:val="000000"/>
          <w:sz w:val="24"/>
        </w:rPr>
        <w:t>客服热线</w:t>
      </w:r>
      <w:r w:rsidR="00314F33" w:rsidRPr="00AF3296">
        <w:rPr>
          <w:rFonts w:ascii="仿宋" w:eastAsia="仿宋" w:hAnsi="仿宋" w:hint="eastAsia"/>
          <w:color w:val="000000"/>
          <w:sz w:val="24"/>
        </w:rPr>
        <w:t>：400-821-7788</w:t>
      </w:r>
    </w:p>
    <w:p w:rsidR="00314F33" w:rsidRPr="00AF3296" w:rsidRDefault="00314F33" w:rsidP="00AF3296">
      <w:pPr>
        <w:spacing w:line="360" w:lineRule="auto"/>
        <w:ind w:firstLineChars="200" w:firstLine="480"/>
        <w:rPr>
          <w:rFonts w:ascii="仿宋" w:eastAsia="仿宋" w:hAnsi="仿宋"/>
          <w:color w:val="000000"/>
          <w:sz w:val="24"/>
        </w:rPr>
      </w:pPr>
      <w:r w:rsidRPr="00AF3296">
        <w:rPr>
          <w:rFonts w:ascii="仿宋" w:eastAsia="仿宋" w:hAnsi="仿宋" w:hint="eastAsia"/>
          <w:color w:val="000000"/>
          <w:sz w:val="24"/>
        </w:rPr>
        <w:t>特此公告。</w:t>
      </w:r>
    </w:p>
    <w:p w:rsidR="00314F33" w:rsidRDefault="00314F33" w:rsidP="00AF3296">
      <w:pPr>
        <w:spacing w:line="360" w:lineRule="auto"/>
        <w:ind w:firstLineChars="200" w:firstLine="480"/>
        <w:rPr>
          <w:rFonts w:ascii="仿宋" w:eastAsia="仿宋" w:hAnsi="仿宋"/>
          <w:color w:val="000000"/>
          <w:sz w:val="24"/>
        </w:rPr>
      </w:pPr>
    </w:p>
    <w:p w:rsidR="0024246D" w:rsidRPr="00AF3296" w:rsidRDefault="0024246D" w:rsidP="00AF3296">
      <w:pPr>
        <w:spacing w:line="360" w:lineRule="auto"/>
        <w:ind w:firstLineChars="200" w:firstLine="480"/>
        <w:rPr>
          <w:rFonts w:ascii="仿宋" w:eastAsia="仿宋" w:hAnsi="仿宋" w:hint="eastAsia"/>
          <w:color w:val="000000"/>
          <w:sz w:val="24"/>
        </w:rPr>
      </w:pPr>
    </w:p>
    <w:p w:rsidR="00314F33" w:rsidRPr="00AF3296" w:rsidRDefault="00314F33" w:rsidP="00AF3296">
      <w:pPr>
        <w:spacing w:line="360" w:lineRule="auto"/>
        <w:ind w:firstLineChars="200" w:firstLine="480"/>
        <w:rPr>
          <w:rFonts w:ascii="仿宋" w:eastAsia="仿宋" w:hAnsi="仿宋"/>
          <w:color w:val="000000"/>
          <w:sz w:val="24"/>
        </w:rPr>
      </w:pPr>
    </w:p>
    <w:p w:rsidR="00314F33" w:rsidRPr="00AF3296" w:rsidRDefault="00314F33" w:rsidP="00EA1959">
      <w:pPr>
        <w:spacing w:line="360" w:lineRule="auto"/>
        <w:ind w:firstLineChars="200" w:firstLine="480"/>
        <w:jc w:val="right"/>
        <w:rPr>
          <w:rFonts w:ascii="仿宋" w:eastAsia="仿宋" w:hAnsi="仿宋"/>
          <w:color w:val="000000"/>
          <w:sz w:val="24"/>
        </w:rPr>
      </w:pPr>
      <w:r w:rsidRPr="00AF3296">
        <w:rPr>
          <w:rFonts w:ascii="仿宋" w:eastAsia="仿宋" w:hAnsi="仿宋" w:hint="eastAsia"/>
          <w:color w:val="000000"/>
          <w:sz w:val="24"/>
        </w:rPr>
        <w:t>德邦基金管理有限公司</w:t>
      </w:r>
    </w:p>
    <w:p w:rsidR="00314F33" w:rsidRPr="00AF3296" w:rsidRDefault="00E838B3" w:rsidP="00EA1959">
      <w:pPr>
        <w:spacing w:line="360" w:lineRule="auto"/>
        <w:ind w:firstLineChars="200" w:firstLine="480"/>
        <w:jc w:val="right"/>
        <w:rPr>
          <w:rFonts w:ascii="仿宋" w:eastAsia="仿宋" w:hAnsi="仿宋"/>
          <w:color w:val="000000"/>
          <w:sz w:val="24"/>
        </w:rPr>
      </w:pPr>
      <w:r w:rsidRPr="00AF3296">
        <w:rPr>
          <w:rFonts w:ascii="仿宋" w:eastAsia="仿宋" w:hAnsi="仿宋" w:hint="eastAsia"/>
          <w:color w:val="000000"/>
          <w:sz w:val="24"/>
        </w:rPr>
        <w:t xml:space="preserve">     </w:t>
      </w:r>
      <w:r w:rsidR="007925D4" w:rsidRPr="00AF3296">
        <w:rPr>
          <w:rFonts w:ascii="仿宋" w:eastAsia="仿宋" w:hAnsi="仿宋" w:hint="eastAsia"/>
          <w:color w:val="000000"/>
          <w:sz w:val="24"/>
        </w:rPr>
        <w:t>20</w:t>
      </w:r>
      <w:r w:rsidR="00E95C98">
        <w:rPr>
          <w:rFonts w:ascii="仿宋" w:eastAsia="仿宋" w:hAnsi="仿宋" w:hint="eastAsia"/>
          <w:color w:val="000000"/>
          <w:sz w:val="24"/>
        </w:rPr>
        <w:t>2</w:t>
      </w:r>
      <w:r w:rsidR="007327FB">
        <w:rPr>
          <w:rFonts w:ascii="仿宋" w:eastAsia="仿宋" w:hAnsi="仿宋" w:hint="eastAsia"/>
          <w:color w:val="000000"/>
          <w:sz w:val="24"/>
        </w:rPr>
        <w:t>5</w:t>
      </w:r>
      <w:r w:rsidR="007925D4" w:rsidRPr="00AF3296">
        <w:rPr>
          <w:rFonts w:ascii="仿宋" w:eastAsia="仿宋" w:hAnsi="仿宋" w:hint="eastAsia"/>
          <w:color w:val="000000"/>
          <w:sz w:val="24"/>
        </w:rPr>
        <w:t>年</w:t>
      </w:r>
      <w:r w:rsidR="00F53639">
        <w:rPr>
          <w:rFonts w:ascii="仿宋" w:eastAsia="仿宋" w:hAnsi="仿宋" w:hint="eastAsia"/>
          <w:color w:val="000000"/>
          <w:sz w:val="24"/>
        </w:rPr>
        <w:t>8</w:t>
      </w:r>
      <w:r w:rsidR="00314F33" w:rsidRPr="00AF3296">
        <w:rPr>
          <w:rFonts w:ascii="仿宋" w:eastAsia="仿宋" w:hAnsi="仿宋" w:hint="eastAsia"/>
          <w:color w:val="000000"/>
          <w:sz w:val="24"/>
        </w:rPr>
        <w:t>月</w:t>
      </w:r>
      <w:r w:rsidR="005B0917">
        <w:rPr>
          <w:rFonts w:ascii="仿宋" w:eastAsia="仿宋" w:hAnsi="仿宋"/>
          <w:color w:val="000000"/>
          <w:sz w:val="24"/>
        </w:rPr>
        <w:t>19</w:t>
      </w:r>
      <w:r w:rsidR="00314F33" w:rsidRPr="00AF3296">
        <w:rPr>
          <w:rFonts w:ascii="仿宋" w:eastAsia="仿宋" w:hAnsi="仿宋" w:hint="eastAsia"/>
          <w:color w:val="000000"/>
          <w:sz w:val="24"/>
        </w:rPr>
        <w:t>日</w:t>
      </w:r>
    </w:p>
    <w:p w:rsidR="00D8724F" w:rsidRDefault="00D8724F"/>
    <w:sectPr w:rsidR="00D8724F" w:rsidSect="00DF1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1C6" w:rsidRDefault="00F461C6" w:rsidP="00314F33">
      <w:r>
        <w:separator/>
      </w:r>
    </w:p>
  </w:endnote>
  <w:endnote w:type="continuationSeparator" w:id="0">
    <w:p w:rsidR="00F461C6" w:rsidRDefault="00F461C6" w:rsidP="00314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1C6" w:rsidRDefault="00F461C6" w:rsidP="00314F33">
      <w:r>
        <w:separator/>
      </w:r>
    </w:p>
  </w:footnote>
  <w:footnote w:type="continuationSeparator" w:id="0">
    <w:p w:rsidR="00F461C6" w:rsidRDefault="00F461C6" w:rsidP="00314F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4F33"/>
    <w:rsid w:val="000121C8"/>
    <w:rsid w:val="00012633"/>
    <w:rsid w:val="00034BE7"/>
    <w:rsid w:val="00052CA7"/>
    <w:rsid w:val="000743A6"/>
    <w:rsid w:val="0008060C"/>
    <w:rsid w:val="00127F1C"/>
    <w:rsid w:val="00130C78"/>
    <w:rsid w:val="001377C0"/>
    <w:rsid w:val="00147225"/>
    <w:rsid w:val="001542C3"/>
    <w:rsid w:val="00176148"/>
    <w:rsid w:val="001864DC"/>
    <w:rsid w:val="0024246D"/>
    <w:rsid w:val="0025587D"/>
    <w:rsid w:val="0025672F"/>
    <w:rsid w:val="00263917"/>
    <w:rsid w:val="002B6FA9"/>
    <w:rsid w:val="002D0380"/>
    <w:rsid w:val="002D62BE"/>
    <w:rsid w:val="002E7974"/>
    <w:rsid w:val="00306059"/>
    <w:rsid w:val="00307F59"/>
    <w:rsid w:val="00314E68"/>
    <w:rsid w:val="00314F33"/>
    <w:rsid w:val="003432CB"/>
    <w:rsid w:val="00343B7C"/>
    <w:rsid w:val="003661DE"/>
    <w:rsid w:val="00375453"/>
    <w:rsid w:val="003D4848"/>
    <w:rsid w:val="003D6DDD"/>
    <w:rsid w:val="003E29E6"/>
    <w:rsid w:val="003E46A8"/>
    <w:rsid w:val="003E4FA1"/>
    <w:rsid w:val="004235DE"/>
    <w:rsid w:val="00427F97"/>
    <w:rsid w:val="00442690"/>
    <w:rsid w:val="004432E5"/>
    <w:rsid w:val="004740AD"/>
    <w:rsid w:val="00482521"/>
    <w:rsid w:val="004B71E1"/>
    <w:rsid w:val="004C3F52"/>
    <w:rsid w:val="004D2BAA"/>
    <w:rsid w:val="0056547F"/>
    <w:rsid w:val="00573137"/>
    <w:rsid w:val="00576E52"/>
    <w:rsid w:val="005831BD"/>
    <w:rsid w:val="005B0917"/>
    <w:rsid w:val="0061701A"/>
    <w:rsid w:val="00634BCE"/>
    <w:rsid w:val="00651C23"/>
    <w:rsid w:val="00670232"/>
    <w:rsid w:val="006859CE"/>
    <w:rsid w:val="006A5B2D"/>
    <w:rsid w:val="006C46A9"/>
    <w:rsid w:val="006D73FE"/>
    <w:rsid w:val="006F5425"/>
    <w:rsid w:val="0072170F"/>
    <w:rsid w:val="007237B0"/>
    <w:rsid w:val="007327FB"/>
    <w:rsid w:val="00743D74"/>
    <w:rsid w:val="0075121B"/>
    <w:rsid w:val="00782E06"/>
    <w:rsid w:val="00787D97"/>
    <w:rsid w:val="00791750"/>
    <w:rsid w:val="007924EA"/>
    <w:rsid w:val="007925D4"/>
    <w:rsid w:val="007971EB"/>
    <w:rsid w:val="007A6779"/>
    <w:rsid w:val="007B2E63"/>
    <w:rsid w:val="007B45E1"/>
    <w:rsid w:val="007C0D54"/>
    <w:rsid w:val="007F2293"/>
    <w:rsid w:val="008318F4"/>
    <w:rsid w:val="00843DA4"/>
    <w:rsid w:val="00867CDA"/>
    <w:rsid w:val="008B1473"/>
    <w:rsid w:val="008B67E4"/>
    <w:rsid w:val="00953FE8"/>
    <w:rsid w:val="0098148D"/>
    <w:rsid w:val="00987BB3"/>
    <w:rsid w:val="009B30C8"/>
    <w:rsid w:val="009E5E52"/>
    <w:rsid w:val="00A0569E"/>
    <w:rsid w:val="00A62FE1"/>
    <w:rsid w:val="00AC1428"/>
    <w:rsid w:val="00AD273A"/>
    <w:rsid w:val="00AF3296"/>
    <w:rsid w:val="00B07A1F"/>
    <w:rsid w:val="00B66D7F"/>
    <w:rsid w:val="00B87172"/>
    <w:rsid w:val="00BA7DC0"/>
    <w:rsid w:val="00BD0819"/>
    <w:rsid w:val="00BE262B"/>
    <w:rsid w:val="00BF07D8"/>
    <w:rsid w:val="00C0241A"/>
    <w:rsid w:val="00C032A9"/>
    <w:rsid w:val="00C3042E"/>
    <w:rsid w:val="00C4265F"/>
    <w:rsid w:val="00C5373B"/>
    <w:rsid w:val="00C55F9A"/>
    <w:rsid w:val="00C62785"/>
    <w:rsid w:val="00C7780C"/>
    <w:rsid w:val="00C8224F"/>
    <w:rsid w:val="00C9055B"/>
    <w:rsid w:val="00CA7E52"/>
    <w:rsid w:val="00CB645B"/>
    <w:rsid w:val="00CF06BB"/>
    <w:rsid w:val="00D03999"/>
    <w:rsid w:val="00D17EC1"/>
    <w:rsid w:val="00D310F6"/>
    <w:rsid w:val="00D31763"/>
    <w:rsid w:val="00D34FD3"/>
    <w:rsid w:val="00D44C12"/>
    <w:rsid w:val="00D57ED9"/>
    <w:rsid w:val="00D70450"/>
    <w:rsid w:val="00D77959"/>
    <w:rsid w:val="00D817C9"/>
    <w:rsid w:val="00D8724F"/>
    <w:rsid w:val="00D918AE"/>
    <w:rsid w:val="00DA4F82"/>
    <w:rsid w:val="00DB284C"/>
    <w:rsid w:val="00DB5FC0"/>
    <w:rsid w:val="00DB7A0B"/>
    <w:rsid w:val="00DF1D97"/>
    <w:rsid w:val="00DF5FEF"/>
    <w:rsid w:val="00E00419"/>
    <w:rsid w:val="00E13EBC"/>
    <w:rsid w:val="00E20FFA"/>
    <w:rsid w:val="00E316C6"/>
    <w:rsid w:val="00E52EA1"/>
    <w:rsid w:val="00E838B3"/>
    <w:rsid w:val="00E95C98"/>
    <w:rsid w:val="00EA1959"/>
    <w:rsid w:val="00EA7FEA"/>
    <w:rsid w:val="00EC03A6"/>
    <w:rsid w:val="00ED518D"/>
    <w:rsid w:val="00F33F14"/>
    <w:rsid w:val="00F41436"/>
    <w:rsid w:val="00F42441"/>
    <w:rsid w:val="00F461C6"/>
    <w:rsid w:val="00F4655C"/>
    <w:rsid w:val="00F53639"/>
    <w:rsid w:val="00F73844"/>
    <w:rsid w:val="00FC4F2F"/>
    <w:rsid w:val="00FD2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F3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4F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rsid w:val="00314F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4F3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rsid w:val="00314F33"/>
    <w:rPr>
      <w:sz w:val="18"/>
      <w:szCs w:val="18"/>
    </w:rPr>
  </w:style>
  <w:style w:type="character" w:styleId="a5">
    <w:name w:val="Hyperlink"/>
    <w:uiPriority w:val="99"/>
    <w:unhideWhenUsed/>
    <w:rsid w:val="00314F33"/>
    <w:rPr>
      <w:color w:val="0000FF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C7780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link w:val="HTML"/>
    <w:uiPriority w:val="99"/>
    <w:semiHidden/>
    <w:rsid w:val="00C7780C"/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D77959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D77959"/>
    <w:rPr>
      <w:rFonts w:ascii="Times New Roman" w:hAnsi="Times New Roman"/>
      <w:kern w:val="2"/>
      <w:sz w:val="18"/>
      <w:szCs w:val="18"/>
    </w:rPr>
  </w:style>
  <w:style w:type="character" w:styleId="a7">
    <w:name w:val="annotation reference"/>
    <w:uiPriority w:val="99"/>
    <w:semiHidden/>
    <w:unhideWhenUsed/>
    <w:rsid w:val="00E95C98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E95C98"/>
    <w:pPr>
      <w:jc w:val="left"/>
    </w:pPr>
  </w:style>
  <w:style w:type="character" w:customStyle="1" w:styleId="Char2">
    <w:name w:val="批注文字 Char"/>
    <w:link w:val="a8"/>
    <w:uiPriority w:val="99"/>
    <w:semiHidden/>
    <w:rsid w:val="00E95C98"/>
    <w:rPr>
      <w:rFonts w:ascii="Times New Roman" w:hAnsi="Times New Roman"/>
      <w:kern w:val="2"/>
      <w:sz w:val="21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E95C98"/>
    <w:rPr>
      <w:b/>
      <w:bCs/>
    </w:rPr>
  </w:style>
  <w:style w:type="character" w:customStyle="1" w:styleId="Char3">
    <w:name w:val="批注主题 Char"/>
    <w:link w:val="a9"/>
    <w:uiPriority w:val="99"/>
    <w:semiHidden/>
    <w:rsid w:val="00E95C98"/>
    <w:rPr>
      <w:rFonts w:ascii="Times New Roman" w:hAnsi="Times New Roman"/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9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88151">
                  <w:marLeft w:val="0"/>
                  <w:marRight w:val="0"/>
                  <w:marTop w:val="109"/>
                  <w:marBottom w:val="0"/>
                  <w:divBdr>
                    <w:top w:val="single" w:sz="6" w:space="0" w:color="AFC4D5"/>
                    <w:left w:val="single" w:sz="6" w:space="0" w:color="AFC4D5"/>
                    <w:bottom w:val="single" w:sz="6" w:space="0" w:color="AFC4D5"/>
                    <w:right w:val="single" w:sz="6" w:space="0" w:color="AFC4D5"/>
                  </w:divBdr>
                  <w:divsChild>
                    <w:div w:id="48254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4</DocSecurity>
  <Lines>2</Lines>
  <Paragraphs>1</Paragraphs>
  <ScaleCrop>false</ScaleCrop>
  <Company>Lenovo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xup</dc:creator>
  <cp:keywords/>
  <cp:lastModifiedBy>ZHONGM</cp:lastModifiedBy>
  <cp:revision>2</cp:revision>
  <cp:lastPrinted>2015-02-12T10:46:00Z</cp:lastPrinted>
  <dcterms:created xsi:type="dcterms:W3CDTF">2025-08-18T16:01:00Z</dcterms:created>
  <dcterms:modified xsi:type="dcterms:W3CDTF">2025-08-18T16:01:00Z</dcterms:modified>
</cp:coreProperties>
</file>