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85DD2" w:rsidRPr="004351AB" w:rsidRDefault="00415A81" w:rsidP="00B85DD2">
      <w:pPr>
        <w:pStyle w:val="a7"/>
        <w:spacing w:before="0" w:beforeAutospacing="0" w:after="0" w:afterAutospacing="0" w:line="360" w:lineRule="auto"/>
        <w:jc w:val="center"/>
        <w:rPr>
          <w:b/>
          <w:bCs/>
          <w:sz w:val="28"/>
        </w:rPr>
      </w:pPr>
      <w:r w:rsidRPr="004351AB">
        <w:rPr>
          <w:rFonts w:hint="eastAsia"/>
          <w:b/>
          <w:bCs/>
          <w:sz w:val="28"/>
        </w:rPr>
        <w:t>金鹰基金管理有限公司部分基金新增</w:t>
      </w:r>
      <w:r w:rsidR="007E49A1">
        <w:rPr>
          <w:rFonts w:hint="eastAsia"/>
          <w:b/>
          <w:bCs/>
          <w:sz w:val="28"/>
        </w:rPr>
        <w:t>英大证券有限责任公司</w:t>
      </w:r>
      <w:r w:rsidRPr="004351AB">
        <w:rPr>
          <w:rFonts w:hint="eastAsia"/>
          <w:b/>
          <w:bCs/>
          <w:sz w:val="28"/>
        </w:rPr>
        <w:t>为代销机构</w:t>
      </w:r>
      <w:r w:rsidR="009C0014" w:rsidRPr="004351AB">
        <w:rPr>
          <w:rFonts w:hint="eastAsia"/>
          <w:b/>
          <w:bCs/>
          <w:sz w:val="28"/>
        </w:rPr>
        <w:t>开通基金转换、基金定投业务及费率优惠的公告</w:t>
      </w:r>
    </w:p>
    <w:p w:rsidR="00B85DD2" w:rsidRPr="004351AB" w:rsidRDefault="00B85DD2" w:rsidP="00DC079C">
      <w:pPr>
        <w:pStyle w:val="a7"/>
        <w:spacing w:before="0" w:beforeAutospacing="0" w:after="0" w:afterAutospacing="0" w:line="360" w:lineRule="auto"/>
        <w:ind w:left="843" w:hangingChars="300" w:hanging="843"/>
        <w:jc w:val="both"/>
        <w:rPr>
          <w:b/>
          <w:bCs/>
          <w:sz w:val="28"/>
        </w:rPr>
      </w:pP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ascii="Calibri" w:hAnsi="Calibri" w:cs="Calibri"/>
        </w:rPr>
      </w:pPr>
      <w:r w:rsidRPr="004351AB">
        <w:rPr>
          <w:rFonts w:cs="Calibri" w:hint="eastAsia"/>
        </w:rPr>
        <w:t>为了更好地满足广大投资者的理财需求，根据金鹰基金管理有限公司（以下简称“</w:t>
      </w:r>
      <w:r w:rsidR="00786DAF" w:rsidRPr="004351AB">
        <w:rPr>
          <w:rFonts w:cs="Calibri" w:hint="eastAsia"/>
        </w:rPr>
        <w:t>本基金管理人</w:t>
      </w:r>
      <w:r w:rsidRPr="004351AB">
        <w:rPr>
          <w:rFonts w:cs="Calibri" w:hint="eastAsia"/>
        </w:rPr>
        <w:t>”）与</w:t>
      </w:r>
      <w:r w:rsidR="007E49A1">
        <w:rPr>
          <w:rFonts w:hint="eastAsia"/>
        </w:rPr>
        <w:t>英大证券有限责任公司</w:t>
      </w:r>
      <w:r w:rsidR="00163302" w:rsidRPr="004351AB">
        <w:rPr>
          <w:rFonts w:hint="eastAsia"/>
        </w:rPr>
        <w:t>（以下简称“</w:t>
      </w:r>
      <w:r w:rsidR="007E49A1">
        <w:rPr>
          <w:rFonts w:hint="eastAsia"/>
        </w:rPr>
        <w:t>英大证券</w:t>
      </w:r>
      <w:r w:rsidR="00163302" w:rsidRPr="004351AB">
        <w:rPr>
          <w:rFonts w:hint="eastAsia"/>
        </w:rPr>
        <w:t>”）</w:t>
      </w:r>
      <w:r w:rsidRPr="004351AB">
        <w:rPr>
          <w:rFonts w:cs="Calibri" w:hint="eastAsia"/>
        </w:rPr>
        <w:t>签订的</w:t>
      </w:r>
      <w:r w:rsidRPr="004351AB">
        <w:rPr>
          <w:rFonts w:asciiTheme="minorEastAsia" w:hAnsiTheme="minorEastAsia" w:cs="Calibri" w:hint="eastAsia"/>
        </w:rPr>
        <w:t>代理销售协议</w:t>
      </w:r>
      <w:r w:rsidRPr="004351AB">
        <w:rPr>
          <w:rFonts w:cs="Calibri" w:hint="eastAsia"/>
        </w:rPr>
        <w:t>，</w:t>
      </w:r>
      <w:r w:rsidR="00786DAF" w:rsidRPr="004351AB">
        <w:rPr>
          <w:rFonts w:cs="Calibri" w:hint="eastAsia"/>
        </w:rPr>
        <w:t>本基金管理人</w:t>
      </w:r>
      <w:r w:rsidRPr="004351AB">
        <w:rPr>
          <w:rFonts w:cs="Calibri" w:hint="eastAsia"/>
        </w:rPr>
        <w:t>决定自</w:t>
      </w:r>
      <w:r w:rsidR="00163302" w:rsidRPr="004351AB">
        <w:rPr>
          <w:rFonts w:cs="Calibri" w:hint="eastAsia"/>
        </w:rPr>
        <w:t>202</w:t>
      </w:r>
      <w:r w:rsidR="0066173E">
        <w:rPr>
          <w:rFonts w:cs="Calibri"/>
        </w:rPr>
        <w:t>5</w:t>
      </w:r>
      <w:r w:rsidRPr="004351AB">
        <w:rPr>
          <w:rFonts w:cs="Calibri" w:hint="eastAsia"/>
        </w:rPr>
        <w:t>年</w:t>
      </w:r>
      <w:r w:rsidR="007E49A1">
        <w:rPr>
          <w:rFonts w:cs="Calibri"/>
        </w:rPr>
        <w:t>8</w:t>
      </w:r>
      <w:r w:rsidRPr="004351AB">
        <w:rPr>
          <w:rFonts w:cs="Calibri" w:hint="eastAsia"/>
        </w:rPr>
        <w:t>月</w:t>
      </w:r>
      <w:r w:rsidR="007E49A1">
        <w:rPr>
          <w:rFonts w:cs="Calibri"/>
        </w:rPr>
        <w:t>18</w:t>
      </w:r>
      <w:r w:rsidRPr="004351AB">
        <w:rPr>
          <w:rFonts w:cs="Calibri" w:hint="eastAsia"/>
        </w:rPr>
        <w:t>日起</w:t>
      </w:r>
      <w:r w:rsidRPr="004351AB">
        <w:rPr>
          <w:rFonts w:asciiTheme="minorEastAsia" w:hAnsiTheme="minorEastAsia" w:cs="Calibri" w:hint="eastAsia"/>
        </w:rPr>
        <w:t>，</w:t>
      </w:r>
      <w:r w:rsidR="007E2426" w:rsidRPr="004351AB">
        <w:rPr>
          <w:rFonts w:asciiTheme="minorEastAsia" w:hAnsiTheme="minorEastAsia" w:cs="Calibri" w:hint="eastAsia"/>
        </w:rPr>
        <w:t>通过</w:t>
      </w:r>
      <w:r w:rsidR="007E49A1">
        <w:rPr>
          <w:rFonts w:asciiTheme="minorEastAsia" w:hAnsiTheme="minorEastAsia" w:cs="Calibri" w:hint="eastAsia"/>
        </w:rPr>
        <w:t>英大证券</w:t>
      </w:r>
      <w:r w:rsidR="00447446" w:rsidRPr="004351AB">
        <w:rPr>
          <w:rFonts w:asciiTheme="minorEastAsia" w:hAnsiTheme="minorEastAsia" w:cs="Calibri" w:hint="eastAsia"/>
        </w:rPr>
        <w:t>代理销售</w:t>
      </w:r>
      <w:r w:rsidR="00786DAF" w:rsidRPr="004351AB">
        <w:rPr>
          <w:rFonts w:asciiTheme="minorEastAsia" w:hAnsiTheme="minorEastAsia" w:cs="Calibri" w:hint="eastAsia"/>
        </w:rPr>
        <w:t>本基金管理人</w:t>
      </w:r>
      <w:r w:rsidR="00447446" w:rsidRPr="004351AB">
        <w:rPr>
          <w:rFonts w:asciiTheme="minorEastAsia" w:hAnsiTheme="minorEastAsia" w:cs="Calibri" w:hint="eastAsia"/>
        </w:rPr>
        <w:t>旗下部分基金</w:t>
      </w:r>
      <w:r w:rsidRPr="004351AB">
        <w:rPr>
          <w:rFonts w:hint="eastAsia"/>
          <w:shd w:val="clear" w:color="auto" w:fill="FFFFFF"/>
        </w:rPr>
        <w:t>，</w:t>
      </w:r>
      <w:r w:rsidR="00AF0E2D" w:rsidRPr="004351AB">
        <w:rPr>
          <w:rFonts w:asciiTheme="minorEastAsia" w:eastAsiaTheme="minorEastAsia" w:hAnsiTheme="minorEastAsia" w:cstheme="minorEastAsia" w:hint="eastAsia"/>
          <w:color w:val="000000" w:themeColor="text1"/>
        </w:rPr>
        <w:t>并开通基金转换、基金定期定额投资（以下简称“基金定投”）业务及费率优惠，</w:t>
      </w:r>
      <w:r w:rsidRPr="004351AB">
        <w:rPr>
          <w:rFonts w:hint="eastAsia"/>
          <w:shd w:val="clear" w:color="auto" w:fill="FFFFFF"/>
        </w:rPr>
        <w:t>具体公告如下：</w:t>
      </w:r>
    </w:p>
    <w:p w:rsidR="00A00AAF" w:rsidRPr="004351AB" w:rsidRDefault="00A00AAF">
      <w:pPr>
        <w:pStyle w:val="a7"/>
        <w:shd w:val="clear" w:color="auto" w:fill="FFFFFF"/>
        <w:adjustRightInd w:val="0"/>
        <w:snapToGrid w:val="0"/>
        <w:spacing w:before="0" w:beforeAutospacing="0" w:after="0" w:afterAutospacing="0" w:line="360" w:lineRule="auto"/>
        <w:ind w:firstLine="420"/>
        <w:jc w:val="both"/>
        <w:rPr>
          <w:rFonts w:ascii="Calibri" w:hAnsi="Calibri" w:cs="Calibri"/>
        </w:rPr>
      </w:pPr>
    </w:p>
    <w:p w:rsidR="00A00AAF" w:rsidRPr="004351AB" w:rsidRDefault="002A228B">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一、新增代销基金</w:t>
      </w:r>
    </w:p>
    <w:tbl>
      <w:tblPr>
        <w:tblStyle w:val="a9"/>
        <w:tblW w:w="8790" w:type="dxa"/>
        <w:tblInd w:w="-318" w:type="dxa"/>
        <w:tblLook w:val="04A0"/>
      </w:tblPr>
      <w:tblGrid>
        <w:gridCol w:w="1702"/>
        <w:gridCol w:w="7088"/>
      </w:tblGrid>
      <w:tr w:rsidR="004C48BD" w:rsidRPr="004C48BD" w:rsidTr="006C4B3B">
        <w:trPr>
          <w:trHeight w:val="285"/>
        </w:trPr>
        <w:tc>
          <w:tcPr>
            <w:tcW w:w="1702" w:type="dxa"/>
            <w:noWrap/>
            <w:hideMark/>
          </w:tcPr>
          <w:p w:rsidR="004C48BD" w:rsidRPr="004C48BD" w:rsidRDefault="004C48BD" w:rsidP="004C48BD">
            <w:pPr>
              <w:pStyle w:val="a7"/>
              <w:spacing w:line="360" w:lineRule="auto"/>
              <w:ind w:firstLine="420"/>
              <w:jc w:val="both"/>
              <w:rPr>
                <w:rFonts w:asciiTheme="minorEastAsia" w:hAnsiTheme="minorEastAsia" w:cstheme="minorEastAsia"/>
                <w:bCs/>
                <w:color w:val="000000" w:themeColor="text1"/>
              </w:rPr>
            </w:pPr>
            <w:r w:rsidRPr="004C48BD">
              <w:rPr>
                <w:rFonts w:asciiTheme="minorEastAsia" w:hAnsiTheme="minorEastAsia" w:cstheme="minorEastAsia" w:hint="eastAsia"/>
                <w:bCs/>
                <w:color w:val="000000" w:themeColor="text1"/>
              </w:rPr>
              <w:t>基金代码</w:t>
            </w:r>
          </w:p>
        </w:tc>
        <w:tc>
          <w:tcPr>
            <w:tcW w:w="7088" w:type="dxa"/>
            <w:noWrap/>
            <w:hideMark/>
          </w:tcPr>
          <w:p w:rsidR="004C48BD" w:rsidRPr="004C48BD" w:rsidRDefault="004C48BD" w:rsidP="004C48BD">
            <w:pPr>
              <w:pStyle w:val="a7"/>
              <w:spacing w:line="360" w:lineRule="auto"/>
              <w:ind w:firstLine="420"/>
              <w:jc w:val="both"/>
              <w:rPr>
                <w:rFonts w:asciiTheme="minorEastAsia" w:hAnsiTheme="minorEastAsia" w:cstheme="minorEastAsia"/>
                <w:bCs/>
                <w:color w:val="000000" w:themeColor="text1"/>
              </w:rPr>
            </w:pPr>
            <w:r w:rsidRPr="004C48BD">
              <w:rPr>
                <w:rFonts w:asciiTheme="minorEastAsia" w:hAnsiTheme="minorEastAsia" w:cstheme="minorEastAsia" w:hint="eastAsia"/>
                <w:bCs/>
                <w:color w:val="000000" w:themeColor="text1"/>
              </w:rPr>
              <w:t>基金名称</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006972</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金鹰民安回报一年定期开放混合型证券投资基金A类份额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007735</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金鹰民安回报一年定期开放混合型证券投资基金C类份额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004265</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金鹰民丰回报定期开放混合型证券投资基金</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011351</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金鹰年年邮益一年持有期混合型证券投资基金A类份额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011352</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金鹰年年邮益一年持有期混合型证券投资基金C类份额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023581</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金鹰民族新兴灵活配置混合型证券投资基金C类份额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004657</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金鹰民富收益混合型证券投资基金A类份额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004658</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金鹰民富收益混合型证券投资基金C类份额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014336</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金鹰元丰债券型证券投资基金C类份额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022568</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金鹰元丰债券型证券投资基金D类份额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162105</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金鹰持久增利债券型证券投资基金（LOF）C类份额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004267</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金鹰持久增利债券型证券投资基金（LOF）E类份额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018644</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金鹰悦享债券型证券投资基金A类份额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018645</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金鹰悦享债券型证券投资基金C类份额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021729</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金鹰悦享债券型证券投资基金D类份额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002490</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金鹰元祺信用债债券型证券投资基金A类份额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022484</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金鹰元祺信用债债券型证券投资基金C类份额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lastRenderedPageBreak/>
              <w:t>018642</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金鹰添福纯债债券型证券投资基金A类份额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018643</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金鹰添福纯债债券型证券投资基金C类份额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005752</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金鹰添盛定期开放债券型发起式证券投资基金</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016923</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金鹰添兴一年定期开放债券型发起式证券投资基金</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004372</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金鹰现金增益交易型货币市场基金A类份额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004373</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金鹰现金增益交易型货币市场基金B类份额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022026</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金鹰中债0-3年政策性金融债指数证券投资基金A类份额</w:t>
            </w:r>
          </w:p>
        </w:tc>
      </w:tr>
      <w:tr w:rsidR="00C67688" w:rsidRPr="004C48BD" w:rsidTr="006C4B3B">
        <w:trPr>
          <w:trHeight w:val="285"/>
        </w:trPr>
        <w:tc>
          <w:tcPr>
            <w:tcW w:w="1702"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022027</w:t>
            </w:r>
          </w:p>
        </w:tc>
        <w:tc>
          <w:tcPr>
            <w:tcW w:w="7088" w:type="dxa"/>
            <w:noWrap/>
            <w:vAlign w:val="center"/>
          </w:tcPr>
          <w:p w:rsidR="00C67688" w:rsidRPr="004C48BD" w:rsidRDefault="00C67688" w:rsidP="00C67688">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金鹰中债0-3年政策性金融债指数证券投资基金C类份额</w:t>
            </w:r>
          </w:p>
        </w:tc>
      </w:tr>
    </w:tbl>
    <w:p w:rsidR="00D67F01" w:rsidRPr="004C48BD" w:rsidRDefault="00D67F01" w:rsidP="002C772D">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p>
    <w:p w:rsidR="0004705D" w:rsidRPr="004351AB" w:rsidRDefault="00DB229B" w:rsidP="002C772D">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sidRPr="004351AB">
        <w:rPr>
          <w:rFonts w:asciiTheme="minorEastAsia" w:eastAsiaTheme="minorEastAsia" w:hAnsiTheme="minorEastAsia" w:cstheme="minorEastAsia" w:hint="eastAsia"/>
          <w:color w:val="000000" w:themeColor="text1"/>
        </w:rPr>
        <w:t>二、</w:t>
      </w:r>
      <w:r w:rsidR="009C0014" w:rsidRPr="004351AB">
        <w:rPr>
          <w:rFonts w:asciiTheme="minorEastAsia" w:eastAsiaTheme="minorEastAsia" w:hAnsiTheme="minorEastAsia" w:cstheme="minorEastAsia" w:hint="eastAsia"/>
          <w:color w:val="000000" w:themeColor="text1"/>
        </w:rPr>
        <w:t>投资者可在</w:t>
      </w:r>
      <w:r w:rsidR="007E49A1">
        <w:rPr>
          <w:rFonts w:asciiTheme="minorEastAsia" w:eastAsiaTheme="minorEastAsia" w:hAnsiTheme="minorEastAsia" w:cstheme="minorEastAsia" w:hint="eastAsia"/>
          <w:color w:val="000000" w:themeColor="text1"/>
        </w:rPr>
        <w:t>英大证券</w:t>
      </w:r>
      <w:r w:rsidR="009C0014" w:rsidRPr="004351AB">
        <w:rPr>
          <w:rFonts w:asciiTheme="minorEastAsia" w:eastAsiaTheme="minorEastAsia" w:hAnsiTheme="minorEastAsia" w:cstheme="minorEastAsia" w:hint="eastAsia"/>
          <w:color w:val="000000" w:themeColor="text1"/>
        </w:rPr>
        <w:t>办理上述基金的开户、申购、赎回、基金转换、基金定投等业务，相关规则遵照代销机构的有关规定以及上述基金的招募说明书、基金合同、产品资料概要等法律文件。</w:t>
      </w:r>
    </w:p>
    <w:p w:rsidR="002C772D" w:rsidRPr="004351AB" w:rsidRDefault="002C772D" w:rsidP="002C772D">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p>
    <w:p w:rsidR="00E7053C" w:rsidRPr="004351AB" w:rsidRDefault="00E7053C" w:rsidP="00E7053C">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sidRPr="004351AB">
        <w:rPr>
          <w:rFonts w:asciiTheme="minorEastAsia" w:eastAsiaTheme="minorEastAsia" w:hAnsiTheme="minorEastAsia" w:cstheme="minorEastAsia" w:hint="eastAsia"/>
          <w:color w:val="000000" w:themeColor="text1"/>
        </w:rPr>
        <w:t>三、重要提示</w:t>
      </w:r>
      <w:bookmarkStart w:id="0" w:name="_GoBack"/>
      <w:bookmarkEnd w:id="0"/>
    </w:p>
    <w:p w:rsidR="00070304" w:rsidRDefault="00827326"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1.</w:t>
      </w:r>
      <w:r w:rsidR="00476AD1" w:rsidRPr="00476AD1">
        <w:rPr>
          <w:rFonts w:asciiTheme="minorEastAsia" w:eastAsiaTheme="minorEastAsia" w:hAnsiTheme="minorEastAsia" w:cstheme="minorEastAsia" w:hint="eastAsia"/>
          <w:color w:val="000000" w:themeColor="text1"/>
        </w:rPr>
        <w:t>目前，金鹰民安回报一年定期开放混合型证券投资基金</w:t>
      </w:r>
      <w:r w:rsidR="00476AD1" w:rsidRPr="00476AD1">
        <w:rPr>
          <w:rFonts w:asciiTheme="minorEastAsia" w:eastAsiaTheme="minorEastAsia" w:hAnsiTheme="minorEastAsia" w:cstheme="minorEastAsia"/>
          <w:color w:val="000000" w:themeColor="text1"/>
        </w:rPr>
        <w:t>A/C</w:t>
      </w:r>
      <w:r w:rsidR="00476AD1" w:rsidRPr="00476AD1">
        <w:rPr>
          <w:rFonts w:asciiTheme="minorEastAsia" w:eastAsiaTheme="minorEastAsia" w:hAnsiTheme="minorEastAsia" w:cstheme="minorEastAsia" w:hint="eastAsia"/>
          <w:color w:val="000000" w:themeColor="text1"/>
        </w:rPr>
        <w:t>类份额</w:t>
      </w:r>
      <w:r w:rsidR="00476AD1">
        <w:rPr>
          <w:rFonts w:asciiTheme="minorEastAsia" w:eastAsiaTheme="minorEastAsia" w:hAnsiTheme="minorEastAsia" w:cstheme="minorEastAsia" w:hint="eastAsia"/>
          <w:color w:val="000000" w:themeColor="text1"/>
        </w:rPr>
        <w:t>、</w:t>
      </w:r>
      <w:r w:rsidR="00476AD1" w:rsidRPr="00476AD1">
        <w:rPr>
          <w:rFonts w:asciiTheme="minorEastAsia" w:eastAsiaTheme="minorEastAsia" w:hAnsiTheme="minorEastAsia" w:cstheme="minorEastAsia" w:hint="eastAsia"/>
          <w:color w:val="000000" w:themeColor="text1"/>
        </w:rPr>
        <w:t>金鹰民丰回报定期开放混合型证券投资基金</w:t>
      </w:r>
      <w:r w:rsidR="00476AD1">
        <w:rPr>
          <w:rFonts w:asciiTheme="minorEastAsia" w:eastAsiaTheme="minorEastAsia" w:hAnsiTheme="minorEastAsia" w:cstheme="minorEastAsia" w:hint="eastAsia"/>
          <w:color w:val="000000" w:themeColor="text1"/>
        </w:rPr>
        <w:t>、</w:t>
      </w:r>
      <w:r w:rsidR="006C4B3B" w:rsidRPr="006C4B3B">
        <w:rPr>
          <w:rFonts w:asciiTheme="minorEastAsia" w:eastAsiaTheme="minorEastAsia" w:hAnsiTheme="minorEastAsia" w:cstheme="minorEastAsia" w:hint="eastAsia"/>
          <w:color w:val="000000" w:themeColor="text1"/>
        </w:rPr>
        <w:t>金鹰添兴一年定期开放债券型发起式证券投资基金</w:t>
      </w:r>
      <w:r w:rsidR="00476AD1" w:rsidRPr="00476AD1">
        <w:rPr>
          <w:rFonts w:asciiTheme="minorEastAsia" w:eastAsiaTheme="minorEastAsia" w:hAnsiTheme="minorEastAsia" w:cstheme="minorEastAsia" w:hint="eastAsia"/>
          <w:color w:val="000000" w:themeColor="text1"/>
        </w:rPr>
        <w:t>仍处于封闭期，暂不开放申购、赎回、转换等业务，开放申购、赎回、转换等业务的时间另行公告。</w:t>
      </w:r>
    </w:p>
    <w:p w:rsidR="006C4B3B" w:rsidRPr="006C4B3B" w:rsidRDefault="006C4B3B"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2</w:t>
      </w:r>
      <w:r>
        <w:rPr>
          <w:rFonts w:asciiTheme="minorEastAsia" w:eastAsiaTheme="minorEastAsia" w:hAnsiTheme="minorEastAsia" w:cstheme="minorEastAsia"/>
          <w:color w:val="000000" w:themeColor="text1"/>
        </w:rPr>
        <w:t>.</w:t>
      </w:r>
      <w:r w:rsidRPr="006C4B3B">
        <w:rPr>
          <w:rFonts w:asciiTheme="minorEastAsia" w:eastAsiaTheme="minorEastAsia" w:hAnsiTheme="minorEastAsia" w:cstheme="minorEastAsia" w:hint="eastAsia"/>
          <w:color w:val="000000" w:themeColor="text1"/>
        </w:rPr>
        <w:t>投资者在赎回（含转换转出）金鹰民族新兴灵活配置混合型证券投资基金份额时，本基金管理人将对每笔基金份额年化收益率超过5%的部分，按15%的比例计提附加管理费，有关附加管理费收取原则与计提方法的约定详见《基金合同》或《招募说明书》。</w:t>
      </w:r>
    </w:p>
    <w:p w:rsidR="008B2268" w:rsidRPr="004351AB" w:rsidRDefault="006C4B3B"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3</w:t>
      </w:r>
      <w:r w:rsidR="00472542">
        <w:rPr>
          <w:rFonts w:asciiTheme="minorEastAsia" w:eastAsiaTheme="minorEastAsia" w:hAnsiTheme="minorEastAsia" w:cstheme="minorEastAsia" w:hint="eastAsia"/>
          <w:color w:val="000000" w:themeColor="text1"/>
        </w:rPr>
        <w:t>.</w:t>
      </w:r>
      <w:r w:rsidR="00F91F27" w:rsidRPr="004351AB">
        <w:rPr>
          <w:rFonts w:asciiTheme="minorEastAsia" w:eastAsiaTheme="minorEastAsia" w:hAnsiTheme="minorEastAsia" w:cstheme="minorEastAsia" w:hint="eastAsia"/>
          <w:color w:val="000000" w:themeColor="text1"/>
        </w:rPr>
        <w:t>基金定投业务是指投资者通过本基金管理人指定的基金销售机构提交申请，约定每期扣款时间和扣款金额，由销售机构于每期约定扣款日在投资者指定资金账户内自动完成扣款和基金申购申请的一种投资方式。</w:t>
      </w:r>
    </w:p>
    <w:p w:rsidR="009C0014" w:rsidRPr="004351AB" w:rsidRDefault="006C4B3B"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4</w:t>
      </w:r>
      <w:r w:rsidR="00827326">
        <w:rPr>
          <w:rFonts w:asciiTheme="minorEastAsia" w:eastAsiaTheme="minorEastAsia" w:hAnsiTheme="minorEastAsia" w:cstheme="minorEastAsia"/>
          <w:color w:val="000000" w:themeColor="text1"/>
        </w:rPr>
        <w:t>.</w:t>
      </w:r>
      <w:r w:rsidR="009C0014" w:rsidRPr="004351AB">
        <w:rPr>
          <w:rFonts w:asciiTheme="minorEastAsia" w:eastAsiaTheme="minorEastAsia" w:hAnsiTheme="minorEastAsia" w:cstheme="minorEastAsia" w:hint="eastAsia"/>
          <w:color w:val="000000" w:themeColor="text1"/>
        </w:rPr>
        <w:t>转换不适用基金：对于本基金管理人后端收费模式基金以及中登系统基金不支持与其他基金之间相互转换；对于FOF基金产品不支持与其他非FOF基金产品之间互相转换；对于同一只基金不同份额之间不支持相互转换。</w:t>
      </w:r>
    </w:p>
    <w:p w:rsidR="0028120E" w:rsidRPr="004351AB" w:rsidRDefault="006C4B3B"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lastRenderedPageBreak/>
        <w:t>5</w:t>
      </w:r>
      <w:r w:rsidR="00827326">
        <w:rPr>
          <w:rFonts w:asciiTheme="minorEastAsia" w:eastAsiaTheme="minorEastAsia" w:hAnsiTheme="minorEastAsia" w:cstheme="minorEastAsia"/>
          <w:color w:val="000000" w:themeColor="text1"/>
        </w:rPr>
        <w:t>.</w:t>
      </w:r>
      <w:r w:rsidR="007D35DE" w:rsidRPr="007D35DE">
        <w:rPr>
          <w:rFonts w:asciiTheme="minorEastAsia" w:eastAsiaTheme="minorEastAsia" w:hAnsiTheme="minorEastAsia" w:cstheme="minorEastAsia" w:hint="eastAsia"/>
          <w:color w:val="000000" w:themeColor="text1"/>
        </w:rPr>
        <w:t>本基金管理人旗下基金在</w:t>
      </w:r>
      <w:r w:rsidR="007E49A1">
        <w:rPr>
          <w:rFonts w:asciiTheme="minorEastAsia" w:eastAsiaTheme="minorEastAsia" w:hAnsiTheme="minorEastAsia" w:cstheme="minorEastAsia" w:hint="eastAsia"/>
          <w:color w:val="000000" w:themeColor="text1"/>
        </w:rPr>
        <w:t>英大证券</w:t>
      </w:r>
      <w:r w:rsidR="007D35DE" w:rsidRPr="007D35DE">
        <w:rPr>
          <w:rFonts w:asciiTheme="minorEastAsia" w:eastAsiaTheme="minorEastAsia" w:hAnsiTheme="minorEastAsia" w:cstheme="minorEastAsia" w:hint="eastAsia"/>
          <w:color w:val="000000" w:themeColor="text1"/>
        </w:rPr>
        <w:t>的申购、定投</w:t>
      </w:r>
      <w:r w:rsidR="00F030ED">
        <w:rPr>
          <w:rFonts w:asciiTheme="minorEastAsia" w:eastAsiaTheme="minorEastAsia" w:hAnsiTheme="minorEastAsia" w:cstheme="minorEastAsia" w:hint="eastAsia"/>
          <w:color w:val="000000" w:themeColor="text1"/>
        </w:rPr>
        <w:t>及转换补差费</w:t>
      </w:r>
      <w:r w:rsidR="007D35DE" w:rsidRPr="007D35DE">
        <w:rPr>
          <w:rFonts w:asciiTheme="minorEastAsia" w:eastAsiaTheme="minorEastAsia" w:hAnsiTheme="minorEastAsia" w:cstheme="minorEastAsia" w:hint="eastAsia"/>
          <w:color w:val="000000" w:themeColor="text1"/>
        </w:rPr>
        <w:t>费率折扣最低不低于1折，</w:t>
      </w:r>
      <w:r w:rsidR="007E49A1">
        <w:rPr>
          <w:rFonts w:asciiTheme="minorEastAsia" w:eastAsiaTheme="minorEastAsia" w:hAnsiTheme="minorEastAsia" w:cstheme="minorEastAsia" w:hint="eastAsia"/>
          <w:color w:val="000000" w:themeColor="text1"/>
        </w:rPr>
        <w:t>英大证券</w:t>
      </w:r>
      <w:r w:rsidR="007D35DE" w:rsidRPr="007D35DE">
        <w:rPr>
          <w:rFonts w:asciiTheme="minorEastAsia" w:eastAsiaTheme="minorEastAsia" w:hAnsiTheme="minorEastAsia" w:cstheme="minorEastAsia" w:hint="eastAsia"/>
          <w:color w:val="000000" w:themeColor="text1"/>
        </w:rPr>
        <w:t>在此基础上实施的费率优惠活动本基金管理人不再进行限制，</w:t>
      </w:r>
      <w:r w:rsidR="0028120E" w:rsidRPr="004351AB">
        <w:rPr>
          <w:rFonts w:asciiTheme="minorEastAsia" w:eastAsiaTheme="minorEastAsia" w:hAnsiTheme="minorEastAsia" w:cstheme="minorEastAsia" w:hint="eastAsia"/>
          <w:color w:val="000000" w:themeColor="text1"/>
        </w:rPr>
        <w:t>投资者通过</w:t>
      </w:r>
      <w:r w:rsidR="007E49A1">
        <w:rPr>
          <w:rFonts w:hint="eastAsia"/>
        </w:rPr>
        <w:t>英大证券</w:t>
      </w:r>
      <w:r w:rsidR="0028120E" w:rsidRPr="004351AB">
        <w:rPr>
          <w:rFonts w:asciiTheme="minorEastAsia" w:eastAsiaTheme="minorEastAsia" w:hAnsiTheme="minorEastAsia" w:cstheme="minorEastAsia" w:hint="eastAsia"/>
          <w:color w:val="000000" w:themeColor="text1"/>
        </w:rPr>
        <w:t>申购、定投</w:t>
      </w:r>
      <w:r w:rsidR="00472542" w:rsidRPr="00472542">
        <w:rPr>
          <w:rFonts w:asciiTheme="minorEastAsia" w:eastAsiaTheme="minorEastAsia" w:hAnsiTheme="minorEastAsia" w:cstheme="minorEastAsia" w:hint="eastAsia"/>
          <w:color w:val="000000" w:themeColor="text1"/>
        </w:rPr>
        <w:t>及转换</w:t>
      </w:r>
      <w:r w:rsidR="0028120E" w:rsidRPr="004351AB">
        <w:rPr>
          <w:rFonts w:asciiTheme="minorEastAsia" w:eastAsiaTheme="minorEastAsia" w:hAnsiTheme="minorEastAsia" w:cstheme="minorEastAsia" w:hint="eastAsia"/>
          <w:color w:val="000000" w:themeColor="text1"/>
        </w:rPr>
        <w:t>本基金管理人旗下适用基金（仅限前端收费模式），其申购、定投</w:t>
      </w:r>
      <w:r w:rsidR="00472542" w:rsidRPr="00472542">
        <w:rPr>
          <w:rFonts w:asciiTheme="minorEastAsia" w:eastAsiaTheme="minorEastAsia" w:hAnsiTheme="minorEastAsia" w:cstheme="minorEastAsia" w:hint="eastAsia"/>
          <w:color w:val="000000" w:themeColor="text1"/>
        </w:rPr>
        <w:t>及转换补差</w:t>
      </w:r>
      <w:r w:rsidR="00F030ED" w:rsidRPr="00F030ED">
        <w:rPr>
          <w:rFonts w:asciiTheme="minorEastAsia" w:eastAsiaTheme="minorEastAsia" w:hAnsiTheme="minorEastAsia" w:cstheme="minorEastAsia" w:hint="eastAsia"/>
          <w:color w:val="000000" w:themeColor="text1"/>
        </w:rPr>
        <w:t>费</w:t>
      </w:r>
      <w:r w:rsidR="0028120E" w:rsidRPr="004351AB">
        <w:rPr>
          <w:rFonts w:asciiTheme="minorEastAsia" w:eastAsiaTheme="minorEastAsia" w:hAnsiTheme="minorEastAsia" w:cstheme="minorEastAsia" w:hint="eastAsia"/>
          <w:color w:val="000000" w:themeColor="text1"/>
        </w:rPr>
        <w:t>费率以</w:t>
      </w:r>
      <w:r w:rsidR="007E49A1">
        <w:rPr>
          <w:rFonts w:hint="eastAsia"/>
        </w:rPr>
        <w:t>英大证券</w:t>
      </w:r>
      <w:r w:rsidR="0028120E" w:rsidRPr="004351AB">
        <w:rPr>
          <w:rFonts w:asciiTheme="minorEastAsia" w:eastAsiaTheme="minorEastAsia" w:hAnsiTheme="minorEastAsia" w:cstheme="minorEastAsia" w:hint="eastAsia"/>
          <w:color w:val="000000" w:themeColor="text1"/>
        </w:rPr>
        <w:t>公布的费率优惠活动为准。优惠前申购费率为固定费用的，则按原费率执行，不再享有费率折扣。</w:t>
      </w:r>
    </w:p>
    <w:p w:rsidR="0028120E" w:rsidRPr="004351AB" w:rsidRDefault="006C4B3B"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6</w:t>
      </w:r>
      <w:r w:rsidR="00827326">
        <w:rPr>
          <w:rFonts w:asciiTheme="minorEastAsia" w:eastAsiaTheme="minorEastAsia" w:hAnsiTheme="minorEastAsia" w:cstheme="minorEastAsia"/>
          <w:color w:val="000000" w:themeColor="text1"/>
        </w:rPr>
        <w:t>.</w:t>
      </w:r>
      <w:r w:rsidR="0028120E" w:rsidRPr="004351AB">
        <w:rPr>
          <w:rFonts w:asciiTheme="minorEastAsia" w:eastAsiaTheme="minorEastAsia" w:hAnsiTheme="minorEastAsia" w:cstheme="minorEastAsia" w:hint="eastAsia"/>
          <w:color w:val="000000" w:themeColor="text1"/>
        </w:rPr>
        <w:t>本基金管理人其他基金如新增</w:t>
      </w:r>
      <w:r w:rsidR="007E49A1">
        <w:rPr>
          <w:rFonts w:hint="eastAsia"/>
        </w:rPr>
        <w:t>英大证券</w:t>
      </w:r>
      <w:r w:rsidR="0028120E" w:rsidRPr="004351AB">
        <w:rPr>
          <w:rFonts w:asciiTheme="minorEastAsia" w:eastAsiaTheme="minorEastAsia" w:hAnsiTheme="minorEastAsia" w:cstheme="minorEastAsia" w:hint="eastAsia"/>
          <w:color w:val="000000" w:themeColor="text1"/>
        </w:rPr>
        <w:t>为代销机构，</w:t>
      </w:r>
      <w:r w:rsidR="009C0014" w:rsidRPr="004351AB">
        <w:rPr>
          <w:rFonts w:asciiTheme="minorEastAsia" w:eastAsiaTheme="minorEastAsia" w:hAnsiTheme="minorEastAsia" w:cstheme="minorEastAsia" w:hint="eastAsia"/>
          <w:color w:val="000000" w:themeColor="text1"/>
        </w:rPr>
        <w:t>将同时开通基金转换、基金定投及费率优惠，我司不再另行公告。</w:t>
      </w:r>
    </w:p>
    <w:p w:rsidR="0028120E" w:rsidRPr="004351AB" w:rsidRDefault="0028120E" w:rsidP="0028120E">
      <w:pPr>
        <w:pStyle w:val="a7"/>
        <w:shd w:val="clear" w:color="auto" w:fill="FFFFFF"/>
        <w:adjustRightInd w:val="0"/>
        <w:snapToGrid w:val="0"/>
        <w:spacing w:before="0" w:beforeAutospacing="0" w:after="0" w:afterAutospacing="0" w:line="360" w:lineRule="auto"/>
        <w:jc w:val="both"/>
        <w:rPr>
          <w:rFonts w:cs="Calibri"/>
        </w:rPr>
      </w:pPr>
    </w:p>
    <w:p w:rsidR="00A00AAF" w:rsidRPr="004351AB" w:rsidRDefault="00E7053C" w:rsidP="00AD4BE8">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四</w:t>
      </w:r>
      <w:r w:rsidR="009877A4" w:rsidRPr="004351AB">
        <w:rPr>
          <w:rFonts w:cs="Calibri" w:hint="eastAsia"/>
        </w:rPr>
        <w:t>、投资者可以通过以下方式咨询</w:t>
      </w:r>
    </w:p>
    <w:p w:rsidR="000B1AB2" w:rsidRPr="004351AB" w:rsidRDefault="009877A4" w:rsidP="000B1AB2">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1</w:t>
      </w:r>
      <w:r w:rsidR="00827326">
        <w:rPr>
          <w:rFonts w:cs="Calibri" w:hint="eastAsia"/>
        </w:rPr>
        <w:t>.</w:t>
      </w:r>
      <w:r w:rsidR="007E49A1">
        <w:rPr>
          <w:rFonts w:cs="Calibri" w:hint="eastAsia"/>
        </w:rPr>
        <w:t>英大证券</w:t>
      </w:r>
    </w:p>
    <w:p w:rsidR="00FF3103" w:rsidRPr="00FF3103" w:rsidRDefault="00FF3103" w:rsidP="00FF3103">
      <w:pPr>
        <w:pStyle w:val="a7"/>
        <w:shd w:val="clear" w:color="auto" w:fill="FFFFFF"/>
        <w:adjustRightInd w:val="0"/>
        <w:snapToGrid w:val="0"/>
        <w:spacing w:before="0" w:beforeAutospacing="0" w:after="0" w:afterAutospacing="0" w:line="360" w:lineRule="auto"/>
        <w:ind w:firstLine="420"/>
        <w:jc w:val="both"/>
        <w:rPr>
          <w:rFonts w:cs="Calibri"/>
        </w:rPr>
      </w:pPr>
      <w:r w:rsidRPr="00FF3103">
        <w:rPr>
          <w:rFonts w:cs="Calibri" w:hint="eastAsia"/>
        </w:rPr>
        <w:t>客服电话：400-0188-688</w:t>
      </w:r>
    </w:p>
    <w:p w:rsidR="00FF3103" w:rsidRDefault="00FF3103" w:rsidP="00FF3103">
      <w:pPr>
        <w:pStyle w:val="a7"/>
        <w:shd w:val="clear" w:color="auto" w:fill="FFFFFF"/>
        <w:adjustRightInd w:val="0"/>
        <w:snapToGrid w:val="0"/>
        <w:spacing w:before="0" w:beforeAutospacing="0" w:after="0" w:afterAutospacing="0" w:line="360" w:lineRule="auto"/>
        <w:ind w:firstLine="420"/>
        <w:jc w:val="both"/>
        <w:rPr>
          <w:rFonts w:cs="Calibri"/>
        </w:rPr>
      </w:pPr>
      <w:r w:rsidRPr="00FF3103">
        <w:rPr>
          <w:rFonts w:cs="Calibri" w:hint="eastAsia"/>
        </w:rPr>
        <w:t>网址：www.ydsc.com.cn</w:t>
      </w:r>
    </w:p>
    <w:p w:rsidR="00A00AAF" w:rsidRPr="004351AB" w:rsidRDefault="00163302" w:rsidP="00FF3103">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2</w:t>
      </w:r>
      <w:r w:rsidR="00827326">
        <w:rPr>
          <w:rFonts w:cs="Calibri" w:hint="eastAsia"/>
        </w:rPr>
        <w:t>.</w:t>
      </w:r>
      <w:r w:rsidR="00786DAF" w:rsidRPr="004351AB">
        <w:rPr>
          <w:rFonts w:cs="Calibri" w:hint="eastAsia"/>
        </w:rPr>
        <w:t>本基金管理人</w:t>
      </w: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客服电话：</w:t>
      </w:r>
      <w:r w:rsidR="00F31BC6" w:rsidRPr="004351AB">
        <w:rPr>
          <w:rFonts w:cs="Calibri" w:hint="eastAsia"/>
        </w:rPr>
        <w:t>4006-</w:t>
      </w:r>
      <w:r w:rsidRPr="004351AB">
        <w:rPr>
          <w:rFonts w:cs="Calibri" w:hint="eastAsia"/>
        </w:rPr>
        <w:t>135-888</w:t>
      </w: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网址：www.gefund.com.cn</w:t>
      </w:r>
    </w:p>
    <w:p w:rsidR="00A00AAF" w:rsidRPr="004351AB" w:rsidRDefault="00A00AAF">
      <w:pPr>
        <w:pStyle w:val="a7"/>
        <w:shd w:val="clear" w:color="auto" w:fill="FFFFFF"/>
        <w:adjustRightInd w:val="0"/>
        <w:snapToGrid w:val="0"/>
        <w:spacing w:before="0" w:beforeAutospacing="0" w:after="0" w:afterAutospacing="0" w:line="360" w:lineRule="auto"/>
        <w:ind w:firstLine="420"/>
        <w:jc w:val="both"/>
        <w:rPr>
          <w:rFonts w:cs="Calibri"/>
        </w:rPr>
      </w:pPr>
    </w:p>
    <w:p w:rsidR="00A00AAF" w:rsidRPr="004351AB" w:rsidRDefault="009C0014" w:rsidP="004B7F7B">
      <w:pPr>
        <w:pStyle w:val="a7"/>
        <w:shd w:val="clear" w:color="auto" w:fill="FFFFFF"/>
        <w:adjustRightInd w:val="0"/>
        <w:snapToGrid w:val="0"/>
        <w:spacing w:line="360" w:lineRule="auto"/>
        <w:ind w:firstLine="420"/>
        <w:rPr>
          <w:rFonts w:asciiTheme="minorEastAsia" w:eastAsiaTheme="minorEastAsia" w:hAnsiTheme="minorEastAsia" w:cstheme="minorEastAsia"/>
          <w:color w:val="000000" w:themeColor="text1"/>
        </w:rPr>
      </w:pPr>
      <w:r w:rsidRPr="004351AB">
        <w:rPr>
          <w:rFonts w:asciiTheme="minorEastAsia" w:eastAsiaTheme="minorEastAsia" w:hAnsiTheme="minorEastAsia" w:cstheme="minorEastAsia" w:hint="eastAsia"/>
          <w:color w:val="000000" w:themeColor="text1"/>
        </w:rPr>
        <w:t>风险提示：本基金管理人承诺以诚实信用、勤勉尽责的原则管理和运用基金资产。</w:t>
      </w:r>
      <w:r w:rsidR="004C38D9" w:rsidRPr="004C38D9">
        <w:rPr>
          <w:rFonts w:asciiTheme="minorEastAsia" w:eastAsiaTheme="minorEastAsia" w:hAnsiTheme="minorEastAsia" w:cstheme="minorEastAsia" w:hint="eastAsia"/>
          <w:color w:val="000000" w:themeColor="text1"/>
        </w:rPr>
        <w:t>投资者购买货币市场基金并不等于将资金作为存款存放在银行或存款类金融机构，</w:t>
      </w:r>
      <w:r w:rsidRPr="004351AB">
        <w:rPr>
          <w:rFonts w:asciiTheme="minorEastAsia" w:eastAsiaTheme="minorEastAsia" w:hAnsiTheme="minorEastAsia" w:cstheme="minorEastAsia" w:hint="eastAsia"/>
          <w:color w:val="000000" w:themeColor="text1"/>
        </w:rPr>
        <w:t>本基金管理人不保证基金一定盈利，也不保证最低收益。中国证监会对基金募集的注册或核准，不代表对基金收益和风险的实质性判断和保证。基金定投并不等于零存整取，不能规避基金投资所固有的风险，也不能保证投资人获得收益。投资有风险，决策须谨慎。销售机构根据法规要求对投资者类别、风险承受能力和基金的风险等级进行划分，并提出适当性匹配意见。投资者在投资基金前应认真阅读《基金合同》、《招募说明书》和《基金产品资料概要》等基金法律文件，全面认识基金产品的风险收益特征，在了解产品情况及听取销售机构适当性意见的基础上，根据自身的风险承受能力、投资期限和投资目标，对基金投资作出独立决策，选择合适的基金产品。投资者购入基金时，投资者应确认已知悉基金产品资料概要，货币市场基金、ETF及中国证监会规定的其他基金品种或情形除外。基金不同于银行储蓄，基金投资人投资于基金有可能获得较高的收益，也有可能损失本金。基金管理人提醒投资者基金投资的“买者自负”原则，在投资者作出投资决策后，基金运营状况与基金净值变化引致的投资风险，由投资者自行负责。</w:t>
      </w: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特此公告。</w:t>
      </w:r>
    </w:p>
    <w:p w:rsidR="004A47C9" w:rsidRPr="004351AB" w:rsidRDefault="004A47C9" w:rsidP="00A70B1F">
      <w:pPr>
        <w:pStyle w:val="a7"/>
        <w:shd w:val="clear" w:color="auto" w:fill="FFFFFF"/>
        <w:adjustRightInd w:val="0"/>
        <w:snapToGrid w:val="0"/>
        <w:spacing w:before="0" w:beforeAutospacing="0" w:after="0" w:afterAutospacing="0" w:line="360" w:lineRule="auto"/>
        <w:jc w:val="both"/>
        <w:rPr>
          <w:rFonts w:cs="Calibri"/>
        </w:rPr>
      </w:pPr>
    </w:p>
    <w:p w:rsidR="00A00AAF" w:rsidRPr="004351AB" w:rsidRDefault="009877A4">
      <w:pPr>
        <w:pStyle w:val="a7"/>
        <w:shd w:val="clear" w:color="auto" w:fill="FFFFFF"/>
        <w:adjustRightInd w:val="0"/>
        <w:snapToGrid w:val="0"/>
        <w:spacing w:before="0" w:beforeAutospacing="0" w:after="0" w:afterAutospacing="0" w:line="360" w:lineRule="auto"/>
        <w:ind w:firstLine="420"/>
        <w:jc w:val="right"/>
        <w:rPr>
          <w:rFonts w:cs="Calibri"/>
        </w:rPr>
      </w:pPr>
      <w:r w:rsidRPr="004351AB">
        <w:rPr>
          <w:rFonts w:cs="Calibri" w:hint="eastAsia"/>
        </w:rPr>
        <w:t>金鹰基金管理有限公司</w:t>
      </w:r>
    </w:p>
    <w:p w:rsidR="00A00AAF" w:rsidRPr="009877A4" w:rsidRDefault="009C0014" w:rsidP="00F73AF8">
      <w:pPr>
        <w:pStyle w:val="a7"/>
        <w:shd w:val="clear" w:color="auto" w:fill="FFFFFF"/>
        <w:adjustRightInd w:val="0"/>
        <w:snapToGrid w:val="0"/>
        <w:spacing w:before="0" w:beforeAutospacing="0" w:after="0" w:afterAutospacing="0" w:line="360" w:lineRule="auto"/>
        <w:ind w:firstLine="420"/>
        <w:jc w:val="right"/>
        <w:rPr>
          <w:rFonts w:cs="Calibri"/>
        </w:rPr>
      </w:pPr>
      <w:r w:rsidRPr="004351AB">
        <w:rPr>
          <w:rFonts w:cs="Calibri" w:hint="eastAsia"/>
        </w:rPr>
        <w:t>202</w:t>
      </w:r>
      <w:r w:rsidR="00E02CA7">
        <w:rPr>
          <w:rFonts w:cs="Calibri"/>
        </w:rPr>
        <w:t>5</w:t>
      </w:r>
      <w:r w:rsidRPr="004351AB">
        <w:rPr>
          <w:rFonts w:cs="Calibri" w:hint="eastAsia"/>
        </w:rPr>
        <w:t>年</w:t>
      </w:r>
      <w:r w:rsidR="00636DE1">
        <w:rPr>
          <w:rFonts w:cs="Calibri"/>
        </w:rPr>
        <w:t>8</w:t>
      </w:r>
      <w:r w:rsidRPr="004351AB">
        <w:rPr>
          <w:rFonts w:cs="Calibri" w:hint="eastAsia"/>
        </w:rPr>
        <w:t>月</w:t>
      </w:r>
      <w:r w:rsidR="00636DE1">
        <w:rPr>
          <w:rFonts w:cs="Calibri"/>
        </w:rPr>
        <w:t>18</w:t>
      </w:r>
      <w:r w:rsidRPr="004351AB">
        <w:rPr>
          <w:rFonts w:cs="Calibri" w:hint="eastAsia"/>
        </w:rPr>
        <w:t>日</w:t>
      </w:r>
    </w:p>
    <w:sectPr w:rsidR="00A00AAF" w:rsidRPr="009877A4" w:rsidSect="00694E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F62" w:rsidRDefault="00D37F62" w:rsidP="00E3201D">
      <w:r>
        <w:separator/>
      </w:r>
    </w:p>
  </w:endnote>
  <w:endnote w:type="continuationSeparator" w:id="0">
    <w:p w:rsidR="00D37F62" w:rsidRDefault="00D37F62" w:rsidP="00E32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宋体_ā">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F62" w:rsidRDefault="00D37F62" w:rsidP="00E3201D">
      <w:r>
        <w:separator/>
      </w:r>
    </w:p>
  </w:footnote>
  <w:footnote w:type="continuationSeparator" w:id="0">
    <w:p w:rsidR="00D37F62" w:rsidRDefault="00D37F62" w:rsidP="00E320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25E264"/>
    <w:multiLevelType w:val="singleLevel"/>
    <w:tmpl w:val="E625E264"/>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5907"/>
    <w:rsid w:val="000109AE"/>
    <w:rsid w:val="00023C0B"/>
    <w:rsid w:val="0004705D"/>
    <w:rsid w:val="00070304"/>
    <w:rsid w:val="000737EE"/>
    <w:rsid w:val="0007668C"/>
    <w:rsid w:val="00093875"/>
    <w:rsid w:val="000A0EF5"/>
    <w:rsid w:val="000B1AB2"/>
    <w:rsid w:val="000D170F"/>
    <w:rsid w:val="000E10B7"/>
    <w:rsid w:val="000E7D3C"/>
    <w:rsid w:val="000F4326"/>
    <w:rsid w:val="000F708A"/>
    <w:rsid w:val="001039C4"/>
    <w:rsid w:val="00112143"/>
    <w:rsid w:val="00112272"/>
    <w:rsid w:val="00126069"/>
    <w:rsid w:val="00142F9B"/>
    <w:rsid w:val="00156402"/>
    <w:rsid w:val="00163302"/>
    <w:rsid w:val="00172A27"/>
    <w:rsid w:val="00175014"/>
    <w:rsid w:val="0018069E"/>
    <w:rsid w:val="00181DF5"/>
    <w:rsid w:val="0018431F"/>
    <w:rsid w:val="00191741"/>
    <w:rsid w:val="00196156"/>
    <w:rsid w:val="001B433C"/>
    <w:rsid w:val="001C22C6"/>
    <w:rsid w:val="001C779B"/>
    <w:rsid w:val="001D0BCE"/>
    <w:rsid w:val="001E3351"/>
    <w:rsid w:val="002000F3"/>
    <w:rsid w:val="00204212"/>
    <w:rsid w:val="00210F18"/>
    <w:rsid w:val="00214830"/>
    <w:rsid w:val="002173DE"/>
    <w:rsid w:val="00227180"/>
    <w:rsid w:val="002357B3"/>
    <w:rsid w:val="00264A16"/>
    <w:rsid w:val="00266540"/>
    <w:rsid w:val="0026767D"/>
    <w:rsid w:val="0028120E"/>
    <w:rsid w:val="00281448"/>
    <w:rsid w:val="00293ED1"/>
    <w:rsid w:val="002A228B"/>
    <w:rsid w:val="002B1024"/>
    <w:rsid w:val="002B1557"/>
    <w:rsid w:val="002B3132"/>
    <w:rsid w:val="002B4142"/>
    <w:rsid w:val="002B4190"/>
    <w:rsid w:val="002B6B49"/>
    <w:rsid w:val="002C28DF"/>
    <w:rsid w:val="002C4C5E"/>
    <w:rsid w:val="002C547F"/>
    <w:rsid w:val="002C5740"/>
    <w:rsid w:val="002C63BA"/>
    <w:rsid w:val="002C772D"/>
    <w:rsid w:val="002E0CEA"/>
    <w:rsid w:val="002F6B22"/>
    <w:rsid w:val="00305CC8"/>
    <w:rsid w:val="00305D3D"/>
    <w:rsid w:val="00311C3C"/>
    <w:rsid w:val="00317240"/>
    <w:rsid w:val="00317B5D"/>
    <w:rsid w:val="003232A5"/>
    <w:rsid w:val="00324952"/>
    <w:rsid w:val="0033673F"/>
    <w:rsid w:val="00336D66"/>
    <w:rsid w:val="0034379E"/>
    <w:rsid w:val="00347AA1"/>
    <w:rsid w:val="00347FF3"/>
    <w:rsid w:val="00361972"/>
    <w:rsid w:val="003631DF"/>
    <w:rsid w:val="00364825"/>
    <w:rsid w:val="00372758"/>
    <w:rsid w:val="00390CB1"/>
    <w:rsid w:val="0039330F"/>
    <w:rsid w:val="00395D67"/>
    <w:rsid w:val="003A6B3A"/>
    <w:rsid w:val="003C4285"/>
    <w:rsid w:val="003C7AEC"/>
    <w:rsid w:val="003D2696"/>
    <w:rsid w:val="003D3C4C"/>
    <w:rsid w:val="003E168F"/>
    <w:rsid w:val="003F276E"/>
    <w:rsid w:val="00407305"/>
    <w:rsid w:val="00415A81"/>
    <w:rsid w:val="00420793"/>
    <w:rsid w:val="004219E2"/>
    <w:rsid w:val="0043356C"/>
    <w:rsid w:val="004351AB"/>
    <w:rsid w:val="00445F84"/>
    <w:rsid w:val="00447446"/>
    <w:rsid w:val="004511C4"/>
    <w:rsid w:val="00453E39"/>
    <w:rsid w:val="00472542"/>
    <w:rsid w:val="004768F1"/>
    <w:rsid w:val="00476AD1"/>
    <w:rsid w:val="004840C8"/>
    <w:rsid w:val="004944A3"/>
    <w:rsid w:val="004A0E27"/>
    <w:rsid w:val="004A1B5A"/>
    <w:rsid w:val="004A47C9"/>
    <w:rsid w:val="004B1512"/>
    <w:rsid w:val="004B7B90"/>
    <w:rsid w:val="004B7F7B"/>
    <w:rsid w:val="004C26F2"/>
    <w:rsid w:val="004C38D9"/>
    <w:rsid w:val="004C48BD"/>
    <w:rsid w:val="004C5102"/>
    <w:rsid w:val="004D0845"/>
    <w:rsid w:val="004D4E21"/>
    <w:rsid w:val="004E2142"/>
    <w:rsid w:val="004E32AC"/>
    <w:rsid w:val="00500661"/>
    <w:rsid w:val="00503779"/>
    <w:rsid w:val="00503A5C"/>
    <w:rsid w:val="00504054"/>
    <w:rsid w:val="00504982"/>
    <w:rsid w:val="00506924"/>
    <w:rsid w:val="00506C89"/>
    <w:rsid w:val="00522178"/>
    <w:rsid w:val="00530F9A"/>
    <w:rsid w:val="00534398"/>
    <w:rsid w:val="0055048C"/>
    <w:rsid w:val="005541C0"/>
    <w:rsid w:val="00566D76"/>
    <w:rsid w:val="005670F1"/>
    <w:rsid w:val="005706A4"/>
    <w:rsid w:val="0057721B"/>
    <w:rsid w:val="0059003D"/>
    <w:rsid w:val="005973D4"/>
    <w:rsid w:val="005A54A0"/>
    <w:rsid w:val="005B7934"/>
    <w:rsid w:val="005E5033"/>
    <w:rsid w:val="005F0540"/>
    <w:rsid w:val="00610D9A"/>
    <w:rsid w:val="00626B49"/>
    <w:rsid w:val="00627EE6"/>
    <w:rsid w:val="00631BBC"/>
    <w:rsid w:val="00636821"/>
    <w:rsid w:val="00636DE1"/>
    <w:rsid w:val="006434F1"/>
    <w:rsid w:val="006463CA"/>
    <w:rsid w:val="00646793"/>
    <w:rsid w:val="006554A2"/>
    <w:rsid w:val="0066173E"/>
    <w:rsid w:val="006626F1"/>
    <w:rsid w:val="00663DC9"/>
    <w:rsid w:val="00665EFB"/>
    <w:rsid w:val="006738B3"/>
    <w:rsid w:val="00680493"/>
    <w:rsid w:val="00691BF4"/>
    <w:rsid w:val="006928B4"/>
    <w:rsid w:val="00694EC6"/>
    <w:rsid w:val="006A1197"/>
    <w:rsid w:val="006C3AF4"/>
    <w:rsid w:val="006C4B3B"/>
    <w:rsid w:val="006D6BCF"/>
    <w:rsid w:val="006D717C"/>
    <w:rsid w:val="0070267D"/>
    <w:rsid w:val="007069D1"/>
    <w:rsid w:val="0072345B"/>
    <w:rsid w:val="0072741B"/>
    <w:rsid w:val="00731549"/>
    <w:rsid w:val="007424F2"/>
    <w:rsid w:val="00743A13"/>
    <w:rsid w:val="00762114"/>
    <w:rsid w:val="00767674"/>
    <w:rsid w:val="00786DAF"/>
    <w:rsid w:val="00790DF8"/>
    <w:rsid w:val="0079226C"/>
    <w:rsid w:val="007B26E1"/>
    <w:rsid w:val="007C19E0"/>
    <w:rsid w:val="007C4602"/>
    <w:rsid w:val="007D35DE"/>
    <w:rsid w:val="007E2426"/>
    <w:rsid w:val="007E46F3"/>
    <w:rsid w:val="007E49A1"/>
    <w:rsid w:val="007F166F"/>
    <w:rsid w:val="007F31CD"/>
    <w:rsid w:val="007F42E4"/>
    <w:rsid w:val="0082536C"/>
    <w:rsid w:val="0082716F"/>
    <w:rsid w:val="00827326"/>
    <w:rsid w:val="00837E44"/>
    <w:rsid w:val="00841C59"/>
    <w:rsid w:val="008512B8"/>
    <w:rsid w:val="00860503"/>
    <w:rsid w:val="00860E1D"/>
    <w:rsid w:val="00864CDD"/>
    <w:rsid w:val="008769F5"/>
    <w:rsid w:val="00876A48"/>
    <w:rsid w:val="0088224E"/>
    <w:rsid w:val="00882A09"/>
    <w:rsid w:val="008919C0"/>
    <w:rsid w:val="008A01A0"/>
    <w:rsid w:val="008A27AD"/>
    <w:rsid w:val="008A29CE"/>
    <w:rsid w:val="008B0A9C"/>
    <w:rsid w:val="008B2268"/>
    <w:rsid w:val="008B2C05"/>
    <w:rsid w:val="008B7C7A"/>
    <w:rsid w:val="008C5B8A"/>
    <w:rsid w:val="008E589A"/>
    <w:rsid w:val="008E6540"/>
    <w:rsid w:val="008F5130"/>
    <w:rsid w:val="00901838"/>
    <w:rsid w:val="00916226"/>
    <w:rsid w:val="00941216"/>
    <w:rsid w:val="00953E06"/>
    <w:rsid w:val="00954AD7"/>
    <w:rsid w:val="0096184E"/>
    <w:rsid w:val="009633B5"/>
    <w:rsid w:val="00965497"/>
    <w:rsid w:val="00965B2D"/>
    <w:rsid w:val="009704E9"/>
    <w:rsid w:val="0097117B"/>
    <w:rsid w:val="009844B9"/>
    <w:rsid w:val="00986D05"/>
    <w:rsid w:val="009877A4"/>
    <w:rsid w:val="009974A3"/>
    <w:rsid w:val="009B7508"/>
    <w:rsid w:val="009C0014"/>
    <w:rsid w:val="009C3941"/>
    <w:rsid w:val="009C6597"/>
    <w:rsid w:val="009D5A96"/>
    <w:rsid w:val="009F38CE"/>
    <w:rsid w:val="00A00AAF"/>
    <w:rsid w:val="00A0278D"/>
    <w:rsid w:val="00A15DC9"/>
    <w:rsid w:val="00A37537"/>
    <w:rsid w:val="00A377DB"/>
    <w:rsid w:val="00A46BE9"/>
    <w:rsid w:val="00A522B4"/>
    <w:rsid w:val="00A60C90"/>
    <w:rsid w:val="00A61416"/>
    <w:rsid w:val="00A70945"/>
    <w:rsid w:val="00A70B1F"/>
    <w:rsid w:val="00A81E34"/>
    <w:rsid w:val="00AC49BE"/>
    <w:rsid w:val="00AD4BE8"/>
    <w:rsid w:val="00AD4FA1"/>
    <w:rsid w:val="00AD6E8D"/>
    <w:rsid w:val="00AF0E2D"/>
    <w:rsid w:val="00AF1899"/>
    <w:rsid w:val="00AF1A2D"/>
    <w:rsid w:val="00AF76F6"/>
    <w:rsid w:val="00B01D7F"/>
    <w:rsid w:val="00B0516D"/>
    <w:rsid w:val="00B11B8C"/>
    <w:rsid w:val="00B336E6"/>
    <w:rsid w:val="00B424A3"/>
    <w:rsid w:val="00B632AB"/>
    <w:rsid w:val="00B679FB"/>
    <w:rsid w:val="00B80061"/>
    <w:rsid w:val="00B85DD2"/>
    <w:rsid w:val="00B87310"/>
    <w:rsid w:val="00B921F1"/>
    <w:rsid w:val="00B975FE"/>
    <w:rsid w:val="00BA133E"/>
    <w:rsid w:val="00BA4D20"/>
    <w:rsid w:val="00BA5803"/>
    <w:rsid w:val="00BB0D06"/>
    <w:rsid w:val="00BB2145"/>
    <w:rsid w:val="00BB477F"/>
    <w:rsid w:val="00BB5BDE"/>
    <w:rsid w:val="00BC2167"/>
    <w:rsid w:val="00BC38F5"/>
    <w:rsid w:val="00BC549F"/>
    <w:rsid w:val="00BC5516"/>
    <w:rsid w:val="00BC560B"/>
    <w:rsid w:val="00BC7D60"/>
    <w:rsid w:val="00BD01CC"/>
    <w:rsid w:val="00BE1FB8"/>
    <w:rsid w:val="00BF6A07"/>
    <w:rsid w:val="00C012DA"/>
    <w:rsid w:val="00C041D4"/>
    <w:rsid w:val="00C06005"/>
    <w:rsid w:val="00C15311"/>
    <w:rsid w:val="00C267AE"/>
    <w:rsid w:val="00C27637"/>
    <w:rsid w:val="00C3146D"/>
    <w:rsid w:val="00C40AB2"/>
    <w:rsid w:val="00C51529"/>
    <w:rsid w:val="00C52FB1"/>
    <w:rsid w:val="00C5608E"/>
    <w:rsid w:val="00C67688"/>
    <w:rsid w:val="00C873A7"/>
    <w:rsid w:val="00C930EB"/>
    <w:rsid w:val="00CA1413"/>
    <w:rsid w:val="00CA2869"/>
    <w:rsid w:val="00CA36CF"/>
    <w:rsid w:val="00CA3B8C"/>
    <w:rsid w:val="00CA62D2"/>
    <w:rsid w:val="00CA73E7"/>
    <w:rsid w:val="00CA7757"/>
    <w:rsid w:val="00CC5E82"/>
    <w:rsid w:val="00CD2771"/>
    <w:rsid w:val="00CD57F0"/>
    <w:rsid w:val="00CE0062"/>
    <w:rsid w:val="00D037FF"/>
    <w:rsid w:val="00D25D72"/>
    <w:rsid w:val="00D37F62"/>
    <w:rsid w:val="00D414D8"/>
    <w:rsid w:val="00D61B38"/>
    <w:rsid w:val="00D61C64"/>
    <w:rsid w:val="00D67F01"/>
    <w:rsid w:val="00D7160C"/>
    <w:rsid w:val="00D773FA"/>
    <w:rsid w:val="00D81E13"/>
    <w:rsid w:val="00D861DB"/>
    <w:rsid w:val="00D90F6C"/>
    <w:rsid w:val="00DA199C"/>
    <w:rsid w:val="00DA5245"/>
    <w:rsid w:val="00DB229B"/>
    <w:rsid w:val="00DB3A6F"/>
    <w:rsid w:val="00DB40C6"/>
    <w:rsid w:val="00DC079C"/>
    <w:rsid w:val="00DC4CB3"/>
    <w:rsid w:val="00DC5262"/>
    <w:rsid w:val="00DC7DCB"/>
    <w:rsid w:val="00DD24CD"/>
    <w:rsid w:val="00DF7CC2"/>
    <w:rsid w:val="00E02CA7"/>
    <w:rsid w:val="00E13E9E"/>
    <w:rsid w:val="00E14296"/>
    <w:rsid w:val="00E22DBA"/>
    <w:rsid w:val="00E241D2"/>
    <w:rsid w:val="00E26003"/>
    <w:rsid w:val="00E26862"/>
    <w:rsid w:val="00E3201D"/>
    <w:rsid w:val="00E34D91"/>
    <w:rsid w:val="00E365D5"/>
    <w:rsid w:val="00E57911"/>
    <w:rsid w:val="00E7053C"/>
    <w:rsid w:val="00E723F9"/>
    <w:rsid w:val="00E724B3"/>
    <w:rsid w:val="00E7618E"/>
    <w:rsid w:val="00E778B5"/>
    <w:rsid w:val="00E87CD2"/>
    <w:rsid w:val="00E92E4D"/>
    <w:rsid w:val="00EA1F68"/>
    <w:rsid w:val="00EA60E4"/>
    <w:rsid w:val="00EA695E"/>
    <w:rsid w:val="00EA7DD1"/>
    <w:rsid w:val="00EB077C"/>
    <w:rsid w:val="00EB0CE1"/>
    <w:rsid w:val="00EC64A9"/>
    <w:rsid w:val="00EE68E6"/>
    <w:rsid w:val="00F030ED"/>
    <w:rsid w:val="00F061A9"/>
    <w:rsid w:val="00F14BCF"/>
    <w:rsid w:val="00F173E8"/>
    <w:rsid w:val="00F23E9A"/>
    <w:rsid w:val="00F31BC6"/>
    <w:rsid w:val="00F36BA5"/>
    <w:rsid w:val="00F53580"/>
    <w:rsid w:val="00F55EE7"/>
    <w:rsid w:val="00F624D8"/>
    <w:rsid w:val="00F73002"/>
    <w:rsid w:val="00F73A92"/>
    <w:rsid w:val="00F73AF8"/>
    <w:rsid w:val="00F8346B"/>
    <w:rsid w:val="00F91F27"/>
    <w:rsid w:val="00F92C9B"/>
    <w:rsid w:val="00FA3C34"/>
    <w:rsid w:val="00FA4261"/>
    <w:rsid w:val="00FB30FB"/>
    <w:rsid w:val="00FC0836"/>
    <w:rsid w:val="00FD53FB"/>
    <w:rsid w:val="00FE15E6"/>
    <w:rsid w:val="00FE3862"/>
    <w:rsid w:val="00FE770E"/>
    <w:rsid w:val="00FF3103"/>
    <w:rsid w:val="00FF5FB5"/>
    <w:rsid w:val="02566BC9"/>
    <w:rsid w:val="09F12A7D"/>
    <w:rsid w:val="0CF16C09"/>
    <w:rsid w:val="0E5D6B5C"/>
    <w:rsid w:val="16544435"/>
    <w:rsid w:val="18790F24"/>
    <w:rsid w:val="19AE2865"/>
    <w:rsid w:val="19FF4CB2"/>
    <w:rsid w:val="2E72139C"/>
    <w:rsid w:val="34FC6A48"/>
    <w:rsid w:val="35635C2A"/>
    <w:rsid w:val="420A353D"/>
    <w:rsid w:val="446B5685"/>
    <w:rsid w:val="51BF7F4A"/>
    <w:rsid w:val="52C60641"/>
    <w:rsid w:val="6027633F"/>
    <w:rsid w:val="64453DCD"/>
    <w:rsid w:val="6AFF3D78"/>
    <w:rsid w:val="6D0C1911"/>
    <w:rsid w:val="718B67EF"/>
    <w:rsid w:val="74FE55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Acronym"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EC6"/>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qFormat/>
    <w:rsid w:val="00694EC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694EC6"/>
    <w:pPr>
      <w:jc w:val="left"/>
    </w:pPr>
  </w:style>
  <w:style w:type="paragraph" w:styleId="a4">
    <w:name w:val="Balloon Text"/>
    <w:basedOn w:val="a"/>
    <w:link w:val="Char0"/>
    <w:uiPriority w:val="99"/>
    <w:semiHidden/>
    <w:unhideWhenUsed/>
    <w:qFormat/>
    <w:rsid w:val="00694EC6"/>
    <w:rPr>
      <w:sz w:val="18"/>
      <w:szCs w:val="18"/>
    </w:rPr>
  </w:style>
  <w:style w:type="paragraph" w:styleId="a5">
    <w:name w:val="footer"/>
    <w:basedOn w:val="a"/>
    <w:link w:val="Char1"/>
    <w:uiPriority w:val="99"/>
    <w:unhideWhenUsed/>
    <w:qFormat/>
    <w:rsid w:val="00694EC6"/>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94EC6"/>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94EC6"/>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sid w:val="00694EC6"/>
    <w:rPr>
      <w:b/>
      <w:bCs/>
    </w:rPr>
  </w:style>
  <w:style w:type="table" w:styleId="a9">
    <w:name w:val="Table Grid"/>
    <w:basedOn w:val="a1"/>
    <w:uiPriority w:val="59"/>
    <w:qFormat/>
    <w:rsid w:val="00694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qFormat/>
    <w:rsid w:val="00694EC6"/>
    <w:rPr>
      <w:color w:val="4C4C4C"/>
      <w:u w:val="none"/>
    </w:rPr>
  </w:style>
  <w:style w:type="character" w:styleId="ab">
    <w:name w:val="Emphasis"/>
    <w:basedOn w:val="a0"/>
    <w:uiPriority w:val="20"/>
    <w:qFormat/>
    <w:rsid w:val="00694EC6"/>
  </w:style>
  <w:style w:type="character" w:styleId="HTML">
    <w:name w:val="HTML Acronym"/>
    <w:basedOn w:val="a0"/>
    <w:uiPriority w:val="99"/>
    <w:semiHidden/>
    <w:unhideWhenUsed/>
    <w:qFormat/>
    <w:rsid w:val="00694EC6"/>
  </w:style>
  <w:style w:type="character" w:styleId="ac">
    <w:name w:val="Hyperlink"/>
    <w:basedOn w:val="a0"/>
    <w:uiPriority w:val="99"/>
    <w:unhideWhenUsed/>
    <w:qFormat/>
    <w:rsid w:val="00694EC6"/>
    <w:rPr>
      <w:color w:val="0000FF"/>
      <w:u w:val="single"/>
    </w:rPr>
  </w:style>
  <w:style w:type="character" w:styleId="ad">
    <w:name w:val="annotation reference"/>
    <w:basedOn w:val="a0"/>
    <w:uiPriority w:val="99"/>
    <w:semiHidden/>
    <w:unhideWhenUsed/>
    <w:qFormat/>
    <w:rsid w:val="00694EC6"/>
    <w:rPr>
      <w:sz w:val="21"/>
      <w:szCs w:val="21"/>
    </w:rPr>
  </w:style>
  <w:style w:type="character" w:customStyle="1" w:styleId="3Char">
    <w:name w:val="标题 3 Char"/>
    <w:basedOn w:val="a0"/>
    <w:link w:val="3"/>
    <w:uiPriority w:val="9"/>
    <w:qFormat/>
    <w:rsid w:val="00694EC6"/>
    <w:rPr>
      <w:rFonts w:ascii="宋体" w:eastAsia="宋体" w:hAnsi="宋体" w:cs="宋体"/>
      <w:b/>
      <w:bCs/>
      <w:kern w:val="0"/>
      <w:sz w:val="27"/>
      <w:szCs w:val="27"/>
    </w:rPr>
  </w:style>
  <w:style w:type="character" w:customStyle="1" w:styleId="span4">
    <w:name w:val="span4"/>
    <w:basedOn w:val="a0"/>
    <w:qFormat/>
    <w:rsid w:val="00694EC6"/>
  </w:style>
  <w:style w:type="character" w:customStyle="1" w:styleId="span01">
    <w:name w:val="span01"/>
    <w:basedOn w:val="a0"/>
    <w:qFormat/>
    <w:rsid w:val="00694EC6"/>
    <w:rPr>
      <w:sz w:val="24"/>
      <w:szCs w:val="24"/>
    </w:rPr>
  </w:style>
  <w:style w:type="character" w:customStyle="1" w:styleId="icon2">
    <w:name w:val="icon2"/>
    <w:basedOn w:val="a0"/>
    <w:qFormat/>
    <w:rsid w:val="00694EC6"/>
  </w:style>
  <w:style w:type="character" w:customStyle="1" w:styleId="fqrsyliswk">
    <w:name w:val="fqrsyl_iswk"/>
    <w:basedOn w:val="a0"/>
    <w:qFormat/>
    <w:rsid w:val="00694EC6"/>
  </w:style>
  <w:style w:type="character" w:customStyle="1" w:styleId="span03">
    <w:name w:val="span03"/>
    <w:basedOn w:val="a0"/>
    <w:qFormat/>
    <w:rsid w:val="00694EC6"/>
  </w:style>
  <w:style w:type="character" w:customStyle="1" w:styleId="span031">
    <w:name w:val="span031"/>
    <w:basedOn w:val="a0"/>
    <w:qFormat/>
    <w:rsid w:val="00694EC6"/>
  </w:style>
  <w:style w:type="character" w:customStyle="1" w:styleId="fmwfsyiswk">
    <w:name w:val="fmwfsy_iswk"/>
    <w:basedOn w:val="a0"/>
    <w:qFormat/>
    <w:rsid w:val="00694EC6"/>
  </w:style>
  <w:style w:type="character" w:customStyle="1" w:styleId="span1">
    <w:name w:val="span1"/>
    <w:basedOn w:val="a0"/>
    <w:qFormat/>
    <w:rsid w:val="00694EC6"/>
  </w:style>
  <w:style w:type="character" w:customStyle="1" w:styleId="span2">
    <w:name w:val="span2"/>
    <w:basedOn w:val="a0"/>
    <w:qFormat/>
    <w:rsid w:val="00694EC6"/>
  </w:style>
  <w:style w:type="character" w:customStyle="1" w:styleId="hover46">
    <w:name w:val="hover46"/>
    <w:basedOn w:val="a0"/>
    <w:qFormat/>
    <w:rsid w:val="00694EC6"/>
    <w:rPr>
      <w:shd w:val="clear" w:color="auto" w:fill="FEF2E7"/>
    </w:rPr>
  </w:style>
  <w:style w:type="character" w:customStyle="1" w:styleId="hover47">
    <w:name w:val="hover47"/>
    <w:basedOn w:val="a0"/>
    <w:qFormat/>
    <w:rsid w:val="00694EC6"/>
    <w:rPr>
      <w:color w:val="F88413"/>
    </w:rPr>
  </w:style>
  <w:style w:type="character" w:customStyle="1" w:styleId="span02">
    <w:name w:val="span02"/>
    <w:basedOn w:val="a0"/>
    <w:qFormat/>
    <w:rsid w:val="00694EC6"/>
    <w:rPr>
      <w:sz w:val="24"/>
      <w:szCs w:val="24"/>
    </w:rPr>
  </w:style>
  <w:style w:type="character" w:customStyle="1" w:styleId="span021">
    <w:name w:val="span021"/>
    <w:basedOn w:val="a0"/>
    <w:qFormat/>
    <w:rsid w:val="00694EC6"/>
  </w:style>
  <w:style w:type="character" w:customStyle="1" w:styleId="on26">
    <w:name w:val="on26"/>
    <w:basedOn w:val="a0"/>
    <w:qFormat/>
    <w:rsid w:val="00694EC6"/>
    <w:rPr>
      <w:color w:val="F88413"/>
    </w:rPr>
  </w:style>
  <w:style w:type="character" w:customStyle="1" w:styleId="on27">
    <w:name w:val="on27"/>
    <w:basedOn w:val="a0"/>
    <w:qFormat/>
    <w:rsid w:val="00694EC6"/>
  </w:style>
  <w:style w:type="character" w:customStyle="1" w:styleId="span3">
    <w:name w:val="span3"/>
    <w:basedOn w:val="a0"/>
    <w:qFormat/>
    <w:rsid w:val="00694EC6"/>
  </w:style>
  <w:style w:type="character" w:customStyle="1" w:styleId="span011">
    <w:name w:val="span011"/>
    <w:basedOn w:val="a0"/>
    <w:qFormat/>
    <w:rsid w:val="00694EC6"/>
  </w:style>
  <w:style w:type="character" w:customStyle="1" w:styleId="icon">
    <w:name w:val="icon"/>
    <w:basedOn w:val="a0"/>
    <w:qFormat/>
    <w:rsid w:val="00694EC6"/>
  </w:style>
  <w:style w:type="character" w:customStyle="1" w:styleId="hover44">
    <w:name w:val="hover44"/>
    <w:basedOn w:val="a0"/>
    <w:qFormat/>
    <w:rsid w:val="00694EC6"/>
    <w:rPr>
      <w:shd w:val="clear" w:color="auto" w:fill="FEF2E7"/>
    </w:rPr>
  </w:style>
  <w:style w:type="character" w:customStyle="1" w:styleId="hover45">
    <w:name w:val="hover45"/>
    <w:basedOn w:val="a0"/>
    <w:qFormat/>
    <w:rsid w:val="00694EC6"/>
    <w:rPr>
      <w:color w:val="F88413"/>
    </w:rPr>
  </w:style>
  <w:style w:type="character" w:customStyle="1" w:styleId="on">
    <w:name w:val="on"/>
    <w:basedOn w:val="a0"/>
    <w:qFormat/>
    <w:rsid w:val="00694EC6"/>
    <w:rPr>
      <w:color w:val="F88413"/>
    </w:rPr>
  </w:style>
  <w:style w:type="character" w:customStyle="1" w:styleId="on1">
    <w:name w:val="on1"/>
    <w:basedOn w:val="a0"/>
    <w:qFormat/>
    <w:rsid w:val="00694EC6"/>
  </w:style>
  <w:style w:type="character" w:customStyle="1" w:styleId="Char2">
    <w:name w:val="页眉 Char"/>
    <w:basedOn w:val="a0"/>
    <w:link w:val="a6"/>
    <w:uiPriority w:val="99"/>
    <w:qFormat/>
    <w:rsid w:val="00694EC6"/>
    <w:rPr>
      <w:rFonts w:asciiTheme="minorHAnsi" w:eastAsiaTheme="minorEastAsia" w:hAnsiTheme="minorHAnsi" w:cstheme="minorBidi"/>
      <w:kern w:val="2"/>
      <w:sz w:val="18"/>
      <w:szCs w:val="18"/>
    </w:rPr>
  </w:style>
  <w:style w:type="character" w:customStyle="1" w:styleId="Char1">
    <w:name w:val="页脚 Char"/>
    <w:basedOn w:val="a0"/>
    <w:link w:val="a5"/>
    <w:uiPriority w:val="99"/>
    <w:qFormat/>
    <w:rsid w:val="00694EC6"/>
    <w:rPr>
      <w:rFonts w:asciiTheme="minorHAnsi" w:eastAsiaTheme="minorEastAsia" w:hAnsiTheme="minorHAnsi" w:cstheme="minorBidi"/>
      <w:kern w:val="2"/>
      <w:sz w:val="18"/>
      <w:szCs w:val="18"/>
    </w:rPr>
  </w:style>
  <w:style w:type="character" w:customStyle="1" w:styleId="Char">
    <w:name w:val="批注文字 Char"/>
    <w:basedOn w:val="a0"/>
    <w:link w:val="a3"/>
    <w:uiPriority w:val="99"/>
    <w:semiHidden/>
    <w:qFormat/>
    <w:rsid w:val="00694EC6"/>
    <w:rPr>
      <w:rFonts w:asciiTheme="minorHAnsi" w:eastAsiaTheme="minorEastAsia" w:hAnsiTheme="minorHAnsi" w:cstheme="minorBidi"/>
      <w:kern w:val="2"/>
      <w:sz w:val="21"/>
      <w:szCs w:val="22"/>
    </w:rPr>
  </w:style>
  <w:style w:type="character" w:customStyle="1" w:styleId="Char3">
    <w:name w:val="批注主题 Char"/>
    <w:basedOn w:val="Char"/>
    <w:link w:val="a8"/>
    <w:uiPriority w:val="99"/>
    <w:semiHidden/>
    <w:qFormat/>
    <w:rsid w:val="00694EC6"/>
    <w:rPr>
      <w:rFonts w:asciiTheme="minorHAnsi" w:eastAsiaTheme="minorEastAsia" w:hAnsiTheme="minorHAnsi" w:cstheme="minorBidi"/>
      <w:b/>
      <w:bCs/>
      <w:kern w:val="2"/>
      <w:sz w:val="21"/>
      <w:szCs w:val="22"/>
    </w:rPr>
  </w:style>
  <w:style w:type="character" w:customStyle="1" w:styleId="Char0">
    <w:name w:val="批注框文本 Char"/>
    <w:basedOn w:val="a0"/>
    <w:link w:val="a4"/>
    <w:uiPriority w:val="99"/>
    <w:semiHidden/>
    <w:qFormat/>
    <w:rsid w:val="00694EC6"/>
    <w:rPr>
      <w:rFonts w:asciiTheme="minorHAnsi" w:eastAsiaTheme="minorEastAsia" w:hAnsiTheme="minorHAnsi" w:cstheme="minorBidi"/>
      <w:kern w:val="2"/>
      <w:sz w:val="18"/>
      <w:szCs w:val="18"/>
    </w:rPr>
  </w:style>
  <w:style w:type="character" w:customStyle="1" w:styleId="hover43">
    <w:name w:val="hover43"/>
    <w:basedOn w:val="a0"/>
    <w:qFormat/>
    <w:rsid w:val="00694EC6"/>
    <w:rPr>
      <w:color w:val="F88413"/>
    </w:rPr>
  </w:style>
  <w:style w:type="paragraph" w:customStyle="1" w:styleId="Default">
    <w:name w:val="Default"/>
    <w:qFormat/>
    <w:rsid w:val="00694EC6"/>
    <w:pPr>
      <w:widowControl w:val="0"/>
      <w:autoSpaceDE w:val="0"/>
      <w:autoSpaceDN w:val="0"/>
      <w:adjustRightInd w:val="0"/>
    </w:pPr>
    <w:rPr>
      <w:rFonts w:ascii="宋体_ā" w:eastAsia="宋体_ā" w:cs="宋体_ā"/>
      <w:color w:val="000000"/>
      <w:sz w:val="24"/>
      <w:szCs w:val="24"/>
    </w:rPr>
  </w:style>
  <w:style w:type="character" w:customStyle="1" w:styleId="hover">
    <w:name w:val="hover"/>
    <w:basedOn w:val="a0"/>
    <w:qFormat/>
    <w:rsid w:val="00694EC6"/>
    <w:rPr>
      <w:color w:val="F88413"/>
    </w:rPr>
  </w:style>
  <w:style w:type="character" w:customStyle="1" w:styleId="hover1">
    <w:name w:val="hover1"/>
    <w:basedOn w:val="a0"/>
    <w:qFormat/>
    <w:rsid w:val="00694EC6"/>
    <w:rPr>
      <w:shd w:val="clear" w:color="auto" w:fill="FEF2E7"/>
    </w:rPr>
  </w:style>
  <w:style w:type="character" w:customStyle="1" w:styleId="hover42">
    <w:name w:val="hover42"/>
    <w:basedOn w:val="a0"/>
    <w:qFormat/>
    <w:rsid w:val="00694EC6"/>
    <w:rPr>
      <w:shd w:val="clear" w:color="auto" w:fill="FEF2E7"/>
    </w:rPr>
  </w:style>
  <w:style w:type="character" w:customStyle="1" w:styleId="on3">
    <w:name w:val="on3"/>
    <w:basedOn w:val="a0"/>
    <w:qFormat/>
    <w:rsid w:val="00694EC6"/>
  </w:style>
  <w:style w:type="character" w:customStyle="1" w:styleId="on4">
    <w:name w:val="on4"/>
    <w:basedOn w:val="a0"/>
    <w:qFormat/>
    <w:rsid w:val="00694EC6"/>
    <w:rPr>
      <w:color w:val="F88413"/>
    </w:rPr>
  </w:style>
  <w:style w:type="paragraph" w:styleId="ae">
    <w:name w:val="Revision"/>
    <w:hidden/>
    <w:uiPriority w:val="99"/>
    <w:semiHidden/>
    <w:rsid w:val="0055048C"/>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6714821">
      <w:bodyDiv w:val="1"/>
      <w:marLeft w:val="0"/>
      <w:marRight w:val="0"/>
      <w:marTop w:val="0"/>
      <w:marBottom w:val="0"/>
      <w:divBdr>
        <w:top w:val="none" w:sz="0" w:space="0" w:color="auto"/>
        <w:left w:val="none" w:sz="0" w:space="0" w:color="auto"/>
        <w:bottom w:val="none" w:sz="0" w:space="0" w:color="auto"/>
        <w:right w:val="none" w:sz="0" w:space="0" w:color="auto"/>
      </w:divBdr>
    </w:div>
    <w:div w:id="211773914">
      <w:bodyDiv w:val="1"/>
      <w:marLeft w:val="0"/>
      <w:marRight w:val="0"/>
      <w:marTop w:val="0"/>
      <w:marBottom w:val="0"/>
      <w:divBdr>
        <w:top w:val="none" w:sz="0" w:space="0" w:color="auto"/>
        <w:left w:val="none" w:sz="0" w:space="0" w:color="auto"/>
        <w:bottom w:val="none" w:sz="0" w:space="0" w:color="auto"/>
        <w:right w:val="none" w:sz="0" w:space="0" w:color="auto"/>
      </w:divBdr>
    </w:div>
    <w:div w:id="268004578">
      <w:bodyDiv w:val="1"/>
      <w:marLeft w:val="0"/>
      <w:marRight w:val="0"/>
      <w:marTop w:val="0"/>
      <w:marBottom w:val="0"/>
      <w:divBdr>
        <w:top w:val="none" w:sz="0" w:space="0" w:color="auto"/>
        <w:left w:val="none" w:sz="0" w:space="0" w:color="auto"/>
        <w:bottom w:val="none" w:sz="0" w:space="0" w:color="auto"/>
        <w:right w:val="none" w:sz="0" w:space="0" w:color="auto"/>
      </w:divBdr>
    </w:div>
    <w:div w:id="288518239">
      <w:bodyDiv w:val="1"/>
      <w:marLeft w:val="0"/>
      <w:marRight w:val="0"/>
      <w:marTop w:val="0"/>
      <w:marBottom w:val="0"/>
      <w:divBdr>
        <w:top w:val="none" w:sz="0" w:space="0" w:color="auto"/>
        <w:left w:val="none" w:sz="0" w:space="0" w:color="auto"/>
        <w:bottom w:val="none" w:sz="0" w:space="0" w:color="auto"/>
        <w:right w:val="none" w:sz="0" w:space="0" w:color="auto"/>
      </w:divBdr>
    </w:div>
    <w:div w:id="296185136">
      <w:bodyDiv w:val="1"/>
      <w:marLeft w:val="0"/>
      <w:marRight w:val="0"/>
      <w:marTop w:val="0"/>
      <w:marBottom w:val="0"/>
      <w:divBdr>
        <w:top w:val="none" w:sz="0" w:space="0" w:color="auto"/>
        <w:left w:val="none" w:sz="0" w:space="0" w:color="auto"/>
        <w:bottom w:val="none" w:sz="0" w:space="0" w:color="auto"/>
        <w:right w:val="none" w:sz="0" w:space="0" w:color="auto"/>
      </w:divBdr>
    </w:div>
    <w:div w:id="299728800">
      <w:bodyDiv w:val="1"/>
      <w:marLeft w:val="0"/>
      <w:marRight w:val="0"/>
      <w:marTop w:val="0"/>
      <w:marBottom w:val="0"/>
      <w:divBdr>
        <w:top w:val="none" w:sz="0" w:space="0" w:color="auto"/>
        <w:left w:val="none" w:sz="0" w:space="0" w:color="auto"/>
        <w:bottom w:val="none" w:sz="0" w:space="0" w:color="auto"/>
        <w:right w:val="none" w:sz="0" w:space="0" w:color="auto"/>
      </w:divBdr>
    </w:div>
    <w:div w:id="391974532">
      <w:bodyDiv w:val="1"/>
      <w:marLeft w:val="0"/>
      <w:marRight w:val="0"/>
      <w:marTop w:val="0"/>
      <w:marBottom w:val="0"/>
      <w:divBdr>
        <w:top w:val="none" w:sz="0" w:space="0" w:color="auto"/>
        <w:left w:val="none" w:sz="0" w:space="0" w:color="auto"/>
        <w:bottom w:val="none" w:sz="0" w:space="0" w:color="auto"/>
        <w:right w:val="none" w:sz="0" w:space="0" w:color="auto"/>
      </w:divBdr>
    </w:div>
    <w:div w:id="415588909">
      <w:bodyDiv w:val="1"/>
      <w:marLeft w:val="0"/>
      <w:marRight w:val="0"/>
      <w:marTop w:val="0"/>
      <w:marBottom w:val="0"/>
      <w:divBdr>
        <w:top w:val="none" w:sz="0" w:space="0" w:color="auto"/>
        <w:left w:val="none" w:sz="0" w:space="0" w:color="auto"/>
        <w:bottom w:val="none" w:sz="0" w:space="0" w:color="auto"/>
        <w:right w:val="none" w:sz="0" w:space="0" w:color="auto"/>
      </w:divBdr>
    </w:div>
    <w:div w:id="532810925">
      <w:bodyDiv w:val="1"/>
      <w:marLeft w:val="0"/>
      <w:marRight w:val="0"/>
      <w:marTop w:val="0"/>
      <w:marBottom w:val="0"/>
      <w:divBdr>
        <w:top w:val="none" w:sz="0" w:space="0" w:color="auto"/>
        <w:left w:val="none" w:sz="0" w:space="0" w:color="auto"/>
        <w:bottom w:val="none" w:sz="0" w:space="0" w:color="auto"/>
        <w:right w:val="none" w:sz="0" w:space="0" w:color="auto"/>
      </w:divBdr>
      <w:divsChild>
        <w:div w:id="2047410884">
          <w:marLeft w:val="0"/>
          <w:marRight w:val="0"/>
          <w:marTop w:val="0"/>
          <w:marBottom w:val="0"/>
          <w:divBdr>
            <w:top w:val="none" w:sz="0" w:space="0" w:color="auto"/>
            <w:left w:val="none" w:sz="0" w:space="0" w:color="auto"/>
            <w:bottom w:val="none" w:sz="0" w:space="0" w:color="auto"/>
            <w:right w:val="none" w:sz="0" w:space="0" w:color="auto"/>
          </w:divBdr>
          <w:divsChild>
            <w:div w:id="956527904">
              <w:marLeft w:val="0"/>
              <w:marRight w:val="0"/>
              <w:marTop w:val="0"/>
              <w:marBottom w:val="0"/>
              <w:divBdr>
                <w:top w:val="none" w:sz="0" w:space="0" w:color="auto"/>
                <w:left w:val="none" w:sz="0" w:space="0" w:color="auto"/>
                <w:bottom w:val="none" w:sz="0" w:space="0" w:color="auto"/>
                <w:right w:val="none" w:sz="0" w:space="0" w:color="auto"/>
              </w:divBdr>
              <w:divsChild>
                <w:div w:id="974260636">
                  <w:marLeft w:val="0"/>
                  <w:marRight w:val="0"/>
                  <w:marTop w:val="0"/>
                  <w:marBottom w:val="0"/>
                  <w:divBdr>
                    <w:top w:val="none" w:sz="0" w:space="0" w:color="auto"/>
                    <w:left w:val="none" w:sz="0" w:space="0" w:color="auto"/>
                    <w:bottom w:val="none" w:sz="0" w:space="0" w:color="auto"/>
                    <w:right w:val="none" w:sz="0" w:space="0" w:color="auto"/>
                  </w:divBdr>
                  <w:divsChild>
                    <w:div w:id="1909074491">
                      <w:marLeft w:val="0"/>
                      <w:marRight w:val="0"/>
                      <w:marTop w:val="0"/>
                      <w:marBottom w:val="0"/>
                      <w:divBdr>
                        <w:top w:val="none" w:sz="0" w:space="0" w:color="auto"/>
                        <w:left w:val="none" w:sz="0" w:space="0" w:color="auto"/>
                        <w:bottom w:val="none" w:sz="0" w:space="0" w:color="auto"/>
                        <w:right w:val="none" w:sz="0" w:space="0" w:color="auto"/>
                      </w:divBdr>
                      <w:divsChild>
                        <w:div w:id="622813727">
                          <w:marLeft w:val="0"/>
                          <w:marRight w:val="0"/>
                          <w:marTop w:val="150"/>
                          <w:marBottom w:val="600"/>
                          <w:divBdr>
                            <w:top w:val="single" w:sz="36" w:space="0" w:color="CA9A37"/>
                            <w:left w:val="single" w:sz="36" w:space="0" w:color="CA9A37"/>
                            <w:bottom w:val="single" w:sz="36" w:space="0" w:color="CA9A37"/>
                            <w:right w:val="single" w:sz="36" w:space="0" w:color="CA9A37"/>
                          </w:divBdr>
                          <w:divsChild>
                            <w:div w:id="744882984">
                              <w:marLeft w:val="0"/>
                              <w:marRight w:val="0"/>
                              <w:marTop w:val="0"/>
                              <w:marBottom w:val="0"/>
                              <w:divBdr>
                                <w:top w:val="none" w:sz="0" w:space="0" w:color="auto"/>
                                <w:left w:val="none" w:sz="0" w:space="0" w:color="auto"/>
                                <w:bottom w:val="none" w:sz="0" w:space="0" w:color="auto"/>
                                <w:right w:val="none" w:sz="0" w:space="0" w:color="auto"/>
                              </w:divBdr>
                              <w:divsChild>
                                <w:div w:id="1055934453">
                                  <w:marLeft w:val="0"/>
                                  <w:marRight w:val="0"/>
                                  <w:marTop w:val="0"/>
                                  <w:marBottom w:val="0"/>
                                  <w:divBdr>
                                    <w:top w:val="none" w:sz="0" w:space="0" w:color="auto"/>
                                    <w:left w:val="none" w:sz="0" w:space="0" w:color="auto"/>
                                    <w:bottom w:val="none" w:sz="0" w:space="0" w:color="auto"/>
                                    <w:right w:val="none" w:sz="0" w:space="0" w:color="auto"/>
                                  </w:divBdr>
                                  <w:divsChild>
                                    <w:div w:id="274561044">
                                      <w:marLeft w:val="0"/>
                                      <w:marRight w:val="0"/>
                                      <w:marTop w:val="0"/>
                                      <w:marBottom w:val="0"/>
                                      <w:divBdr>
                                        <w:top w:val="none" w:sz="0" w:space="0" w:color="auto"/>
                                        <w:left w:val="none" w:sz="0" w:space="0" w:color="auto"/>
                                        <w:bottom w:val="none" w:sz="0" w:space="0" w:color="auto"/>
                                        <w:right w:val="none" w:sz="0" w:space="0" w:color="auto"/>
                                      </w:divBdr>
                                      <w:divsChild>
                                        <w:div w:id="261842094">
                                          <w:marLeft w:val="0"/>
                                          <w:marRight w:val="0"/>
                                          <w:marTop w:val="0"/>
                                          <w:marBottom w:val="0"/>
                                          <w:divBdr>
                                            <w:top w:val="none" w:sz="0" w:space="0" w:color="auto"/>
                                            <w:left w:val="none" w:sz="0" w:space="0" w:color="auto"/>
                                            <w:bottom w:val="none" w:sz="0" w:space="0" w:color="auto"/>
                                            <w:right w:val="none" w:sz="0" w:space="0" w:color="auto"/>
                                          </w:divBdr>
                                          <w:divsChild>
                                            <w:div w:id="12160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891410">
      <w:bodyDiv w:val="1"/>
      <w:marLeft w:val="0"/>
      <w:marRight w:val="0"/>
      <w:marTop w:val="0"/>
      <w:marBottom w:val="0"/>
      <w:divBdr>
        <w:top w:val="none" w:sz="0" w:space="0" w:color="auto"/>
        <w:left w:val="none" w:sz="0" w:space="0" w:color="auto"/>
        <w:bottom w:val="none" w:sz="0" w:space="0" w:color="auto"/>
        <w:right w:val="none" w:sz="0" w:space="0" w:color="auto"/>
      </w:divBdr>
    </w:div>
    <w:div w:id="579677025">
      <w:bodyDiv w:val="1"/>
      <w:marLeft w:val="0"/>
      <w:marRight w:val="0"/>
      <w:marTop w:val="0"/>
      <w:marBottom w:val="0"/>
      <w:divBdr>
        <w:top w:val="none" w:sz="0" w:space="0" w:color="auto"/>
        <w:left w:val="none" w:sz="0" w:space="0" w:color="auto"/>
        <w:bottom w:val="none" w:sz="0" w:space="0" w:color="auto"/>
        <w:right w:val="none" w:sz="0" w:space="0" w:color="auto"/>
      </w:divBdr>
    </w:div>
    <w:div w:id="715157506">
      <w:bodyDiv w:val="1"/>
      <w:marLeft w:val="0"/>
      <w:marRight w:val="0"/>
      <w:marTop w:val="0"/>
      <w:marBottom w:val="0"/>
      <w:divBdr>
        <w:top w:val="none" w:sz="0" w:space="0" w:color="auto"/>
        <w:left w:val="none" w:sz="0" w:space="0" w:color="auto"/>
        <w:bottom w:val="none" w:sz="0" w:space="0" w:color="auto"/>
        <w:right w:val="none" w:sz="0" w:space="0" w:color="auto"/>
      </w:divBdr>
    </w:div>
    <w:div w:id="765997174">
      <w:bodyDiv w:val="1"/>
      <w:marLeft w:val="0"/>
      <w:marRight w:val="0"/>
      <w:marTop w:val="0"/>
      <w:marBottom w:val="0"/>
      <w:divBdr>
        <w:top w:val="none" w:sz="0" w:space="0" w:color="auto"/>
        <w:left w:val="none" w:sz="0" w:space="0" w:color="auto"/>
        <w:bottom w:val="none" w:sz="0" w:space="0" w:color="auto"/>
        <w:right w:val="none" w:sz="0" w:space="0" w:color="auto"/>
      </w:divBdr>
    </w:div>
    <w:div w:id="821896294">
      <w:bodyDiv w:val="1"/>
      <w:marLeft w:val="0"/>
      <w:marRight w:val="0"/>
      <w:marTop w:val="0"/>
      <w:marBottom w:val="0"/>
      <w:divBdr>
        <w:top w:val="none" w:sz="0" w:space="0" w:color="auto"/>
        <w:left w:val="none" w:sz="0" w:space="0" w:color="auto"/>
        <w:bottom w:val="none" w:sz="0" w:space="0" w:color="auto"/>
        <w:right w:val="none" w:sz="0" w:space="0" w:color="auto"/>
      </w:divBdr>
    </w:div>
    <w:div w:id="944113433">
      <w:bodyDiv w:val="1"/>
      <w:marLeft w:val="0"/>
      <w:marRight w:val="0"/>
      <w:marTop w:val="0"/>
      <w:marBottom w:val="0"/>
      <w:divBdr>
        <w:top w:val="none" w:sz="0" w:space="0" w:color="auto"/>
        <w:left w:val="none" w:sz="0" w:space="0" w:color="auto"/>
        <w:bottom w:val="none" w:sz="0" w:space="0" w:color="auto"/>
        <w:right w:val="none" w:sz="0" w:space="0" w:color="auto"/>
      </w:divBdr>
    </w:div>
    <w:div w:id="1095787020">
      <w:bodyDiv w:val="1"/>
      <w:marLeft w:val="0"/>
      <w:marRight w:val="0"/>
      <w:marTop w:val="0"/>
      <w:marBottom w:val="0"/>
      <w:divBdr>
        <w:top w:val="none" w:sz="0" w:space="0" w:color="auto"/>
        <w:left w:val="none" w:sz="0" w:space="0" w:color="auto"/>
        <w:bottom w:val="none" w:sz="0" w:space="0" w:color="auto"/>
        <w:right w:val="none" w:sz="0" w:space="0" w:color="auto"/>
      </w:divBdr>
    </w:div>
    <w:div w:id="1395205572">
      <w:bodyDiv w:val="1"/>
      <w:marLeft w:val="0"/>
      <w:marRight w:val="0"/>
      <w:marTop w:val="0"/>
      <w:marBottom w:val="0"/>
      <w:divBdr>
        <w:top w:val="none" w:sz="0" w:space="0" w:color="auto"/>
        <w:left w:val="none" w:sz="0" w:space="0" w:color="auto"/>
        <w:bottom w:val="none" w:sz="0" w:space="0" w:color="auto"/>
        <w:right w:val="none" w:sz="0" w:space="0" w:color="auto"/>
      </w:divBdr>
    </w:div>
    <w:div w:id="1424494284">
      <w:bodyDiv w:val="1"/>
      <w:marLeft w:val="0"/>
      <w:marRight w:val="0"/>
      <w:marTop w:val="0"/>
      <w:marBottom w:val="0"/>
      <w:divBdr>
        <w:top w:val="none" w:sz="0" w:space="0" w:color="auto"/>
        <w:left w:val="none" w:sz="0" w:space="0" w:color="auto"/>
        <w:bottom w:val="none" w:sz="0" w:space="0" w:color="auto"/>
        <w:right w:val="none" w:sz="0" w:space="0" w:color="auto"/>
      </w:divBdr>
    </w:div>
    <w:div w:id="1440637112">
      <w:bodyDiv w:val="1"/>
      <w:marLeft w:val="0"/>
      <w:marRight w:val="0"/>
      <w:marTop w:val="0"/>
      <w:marBottom w:val="0"/>
      <w:divBdr>
        <w:top w:val="none" w:sz="0" w:space="0" w:color="auto"/>
        <w:left w:val="none" w:sz="0" w:space="0" w:color="auto"/>
        <w:bottom w:val="none" w:sz="0" w:space="0" w:color="auto"/>
        <w:right w:val="none" w:sz="0" w:space="0" w:color="auto"/>
      </w:divBdr>
    </w:div>
    <w:div w:id="1475751442">
      <w:bodyDiv w:val="1"/>
      <w:marLeft w:val="0"/>
      <w:marRight w:val="0"/>
      <w:marTop w:val="0"/>
      <w:marBottom w:val="0"/>
      <w:divBdr>
        <w:top w:val="none" w:sz="0" w:space="0" w:color="auto"/>
        <w:left w:val="none" w:sz="0" w:space="0" w:color="auto"/>
        <w:bottom w:val="none" w:sz="0" w:space="0" w:color="auto"/>
        <w:right w:val="none" w:sz="0" w:space="0" w:color="auto"/>
      </w:divBdr>
    </w:div>
    <w:div w:id="1611938858">
      <w:bodyDiv w:val="1"/>
      <w:marLeft w:val="0"/>
      <w:marRight w:val="0"/>
      <w:marTop w:val="0"/>
      <w:marBottom w:val="0"/>
      <w:divBdr>
        <w:top w:val="none" w:sz="0" w:space="0" w:color="auto"/>
        <w:left w:val="none" w:sz="0" w:space="0" w:color="auto"/>
        <w:bottom w:val="none" w:sz="0" w:space="0" w:color="auto"/>
        <w:right w:val="none" w:sz="0" w:space="0" w:color="auto"/>
      </w:divBdr>
    </w:div>
    <w:div w:id="1652129374">
      <w:bodyDiv w:val="1"/>
      <w:marLeft w:val="0"/>
      <w:marRight w:val="0"/>
      <w:marTop w:val="0"/>
      <w:marBottom w:val="0"/>
      <w:divBdr>
        <w:top w:val="none" w:sz="0" w:space="0" w:color="auto"/>
        <w:left w:val="none" w:sz="0" w:space="0" w:color="auto"/>
        <w:bottom w:val="none" w:sz="0" w:space="0" w:color="auto"/>
        <w:right w:val="none" w:sz="0" w:space="0" w:color="auto"/>
      </w:divBdr>
    </w:div>
    <w:div w:id="1730155442">
      <w:bodyDiv w:val="1"/>
      <w:marLeft w:val="0"/>
      <w:marRight w:val="0"/>
      <w:marTop w:val="0"/>
      <w:marBottom w:val="0"/>
      <w:divBdr>
        <w:top w:val="none" w:sz="0" w:space="0" w:color="auto"/>
        <w:left w:val="none" w:sz="0" w:space="0" w:color="auto"/>
        <w:bottom w:val="none" w:sz="0" w:space="0" w:color="auto"/>
        <w:right w:val="none" w:sz="0" w:space="0" w:color="auto"/>
      </w:divBdr>
    </w:div>
    <w:div w:id="1743991349">
      <w:bodyDiv w:val="1"/>
      <w:marLeft w:val="0"/>
      <w:marRight w:val="0"/>
      <w:marTop w:val="0"/>
      <w:marBottom w:val="0"/>
      <w:divBdr>
        <w:top w:val="none" w:sz="0" w:space="0" w:color="auto"/>
        <w:left w:val="none" w:sz="0" w:space="0" w:color="auto"/>
        <w:bottom w:val="none" w:sz="0" w:space="0" w:color="auto"/>
        <w:right w:val="none" w:sz="0" w:space="0" w:color="auto"/>
      </w:divBdr>
    </w:div>
    <w:div w:id="1764643892">
      <w:bodyDiv w:val="1"/>
      <w:marLeft w:val="0"/>
      <w:marRight w:val="0"/>
      <w:marTop w:val="0"/>
      <w:marBottom w:val="0"/>
      <w:divBdr>
        <w:top w:val="none" w:sz="0" w:space="0" w:color="auto"/>
        <w:left w:val="none" w:sz="0" w:space="0" w:color="auto"/>
        <w:bottom w:val="none" w:sz="0" w:space="0" w:color="auto"/>
        <w:right w:val="none" w:sz="0" w:space="0" w:color="auto"/>
      </w:divBdr>
    </w:div>
    <w:div w:id="1863280236">
      <w:bodyDiv w:val="1"/>
      <w:marLeft w:val="0"/>
      <w:marRight w:val="0"/>
      <w:marTop w:val="0"/>
      <w:marBottom w:val="0"/>
      <w:divBdr>
        <w:top w:val="none" w:sz="0" w:space="0" w:color="auto"/>
        <w:left w:val="none" w:sz="0" w:space="0" w:color="auto"/>
        <w:bottom w:val="none" w:sz="0" w:space="0" w:color="auto"/>
        <w:right w:val="none" w:sz="0" w:space="0" w:color="auto"/>
      </w:divBdr>
    </w:div>
    <w:div w:id="1904414085">
      <w:bodyDiv w:val="1"/>
      <w:marLeft w:val="0"/>
      <w:marRight w:val="0"/>
      <w:marTop w:val="0"/>
      <w:marBottom w:val="0"/>
      <w:divBdr>
        <w:top w:val="none" w:sz="0" w:space="0" w:color="auto"/>
        <w:left w:val="none" w:sz="0" w:space="0" w:color="auto"/>
        <w:bottom w:val="none" w:sz="0" w:space="0" w:color="auto"/>
        <w:right w:val="none" w:sz="0" w:space="0" w:color="auto"/>
      </w:divBdr>
    </w:div>
    <w:div w:id="1952855761">
      <w:bodyDiv w:val="1"/>
      <w:marLeft w:val="0"/>
      <w:marRight w:val="0"/>
      <w:marTop w:val="0"/>
      <w:marBottom w:val="0"/>
      <w:divBdr>
        <w:top w:val="none" w:sz="0" w:space="0" w:color="auto"/>
        <w:left w:val="none" w:sz="0" w:space="0" w:color="auto"/>
        <w:bottom w:val="none" w:sz="0" w:space="0" w:color="auto"/>
        <w:right w:val="none" w:sz="0" w:space="0" w:color="auto"/>
      </w:divBdr>
    </w:div>
    <w:div w:id="1989288076">
      <w:bodyDiv w:val="1"/>
      <w:marLeft w:val="0"/>
      <w:marRight w:val="0"/>
      <w:marTop w:val="0"/>
      <w:marBottom w:val="0"/>
      <w:divBdr>
        <w:top w:val="none" w:sz="0" w:space="0" w:color="auto"/>
        <w:left w:val="none" w:sz="0" w:space="0" w:color="auto"/>
        <w:bottom w:val="none" w:sz="0" w:space="0" w:color="auto"/>
        <w:right w:val="none" w:sz="0" w:space="0" w:color="auto"/>
      </w:divBdr>
    </w:div>
    <w:div w:id="2073037394">
      <w:bodyDiv w:val="1"/>
      <w:marLeft w:val="0"/>
      <w:marRight w:val="0"/>
      <w:marTop w:val="0"/>
      <w:marBottom w:val="0"/>
      <w:divBdr>
        <w:top w:val="none" w:sz="0" w:space="0" w:color="auto"/>
        <w:left w:val="none" w:sz="0" w:space="0" w:color="auto"/>
        <w:bottom w:val="none" w:sz="0" w:space="0" w:color="auto"/>
        <w:right w:val="none" w:sz="0" w:space="0" w:color="auto"/>
      </w:divBdr>
    </w:div>
    <w:div w:id="2100370229">
      <w:bodyDiv w:val="1"/>
      <w:marLeft w:val="0"/>
      <w:marRight w:val="0"/>
      <w:marTop w:val="0"/>
      <w:marBottom w:val="0"/>
      <w:divBdr>
        <w:top w:val="none" w:sz="0" w:space="0" w:color="auto"/>
        <w:left w:val="none" w:sz="0" w:space="0" w:color="auto"/>
        <w:bottom w:val="none" w:sz="0" w:space="0" w:color="auto"/>
        <w:right w:val="none" w:sz="0" w:space="0" w:color="auto"/>
      </w:divBdr>
    </w:div>
    <w:div w:id="2109109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360</Words>
  <Characters>2054</Characters>
  <Application>Microsoft Office Word</Application>
  <DocSecurity>4</DocSecurity>
  <Lines>17</Lines>
  <Paragraphs>4</Paragraphs>
  <ScaleCrop>false</ScaleCrop>
  <Company>Microsoft</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谢礼星</dc:creator>
  <cp:lastModifiedBy>ZHONGM</cp:lastModifiedBy>
  <cp:revision>2</cp:revision>
  <cp:lastPrinted>2020-12-23T05:38:00Z</cp:lastPrinted>
  <dcterms:created xsi:type="dcterms:W3CDTF">2025-08-17T16:00:00Z</dcterms:created>
  <dcterms:modified xsi:type="dcterms:W3CDTF">2025-08-17T16:00:00Z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