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F43" w:rsidRPr="003C2147" w:rsidRDefault="003F1C9F" w:rsidP="00CD1F43">
      <w:pPr>
        <w:jc w:val="center"/>
        <w:rPr>
          <w:rFonts w:hint="eastAsia"/>
          <w:b/>
          <w:sz w:val="24"/>
        </w:rPr>
      </w:pPr>
      <w:r w:rsidRPr="003C2147">
        <w:rPr>
          <w:rFonts w:hint="eastAsia"/>
          <w:b/>
          <w:sz w:val="24"/>
        </w:rPr>
        <w:t>关于汇丰晋信基金管理有限公司旗下基金持有的</w:t>
      </w:r>
      <w:r w:rsidR="00CD1F43" w:rsidRPr="003C2147">
        <w:rPr>
          <w:rFonts w:hint="eastAsia"/>
          <w:b/>
          <w:sz w:val="24"/>
        </w:rPr>
        <w:t>停牌股票采用指数收益法进行估值的提示性公告</w:t>
      </w:r>
    </w:p>
    <w:p w:rsidR="00D04E64" w:rsidRPr="003C2147" w:rsidRDefault="00D04E64" w:rsidP="00D04E64">
      <w:pPr>
        <w:ind w:firstLine="465"/>
        <w:rPr>
          <w:rFonts w:hint="eastAsia"/>
          <w:sz w:val="24"/>
        </w:rPr>
      </w:pPr>
    </w:p>
    <w:p w:rsidR="00EA2D18" w:rsidRPr="003C2147" w:rsidRDefault="00D6247C" w:rsidP="00C22433">
      <w:pPr>
        <w:ind w:firstLineChars="200" w:firstLine="504"/>
        <w:rPr>
          <w:rFonts w:hint="eastAsia"/>
          <w:sz w:val="24"/>
        </w:rPr>
      </w:pPr>
      <w:r w:rsidRPr="003C2147">
        <w:rPr>
          <w:rFonts w:hint="eastAsia"/>
          <w:sz w:val="24"/>
        </w:rPr>
        <w:t>根据</w:t>
      </w:r>
      <w:r w:rsidR="008628C2" w:rsidRPr="008628C2">
        <w:rPr>
          <w:rFonts w:hint="eastAsia"/>
          <w:sz w:val="24"/>
        </w:rPr>
        <w:t>《</w:t>
      </w:r>
      <w:r w:rsidR="00E54841" w:rsidRPr="00E54841">
        <w:rPr>
          <w:sz w:val="24"/>
        </w:rPr>
        <w:t>中国证券监督管理委员会</w:t>
      </w:r>
      <w:r w:rsidR="008628C2" w:rsidRPr="008628C2">
        <w:rPr>
          <w:rFonts w:hint="eastAsia"/>
          <w:sz w:val="24"/>
        </w:rPr>
        <w:t>关于证券投资基金估值业务的指导意见》</w:t>
      </w:r>
      <w:r w:rsidRPr="003C2147">
        <w:rPr>
          <w:rFonts w:hint="eastAsia"/>
          <w:sz w:val="24"/>
        </w:rPr>
        <w:t>（证监会公告</w:t>
      </w:r>
      <w:r w:rsidR="008628C2">
        <w:rPr>
          <w:rFonts w:hint="eastAsia"/>
          <w:sz w:val="24"/>
        </w:rPr>
        <w:t>[2017]13</w:t>
      </w:r>
      <w:r w:rsidRPr="003C2147">
        <w:rPr>
          <w:rFonts w:hint="eastAsia"/>
          <w:sz w:val="24"/>
        </w:rPr>
        <w:t>号）以及中国</w:t>
      </w:r>
      <w:r w:rsidR="008628C2">
        <w:rPr>
          <w:rFonts w:hint="eastAsia"/>
          <w:sz w:val="24"/>
        </w:rPr>
        <w:t>证券投资基金</w:t>
      </w:r>
      <w:r w:rsidRPr="003C2147">
        <w:rPr>
          <w:rFonts w:hint="eastAsia"/>
          <w:sz w:val="24"/>
        </w:rPr>
        <w:t>业协会《关于发布中</w:t>
      </w:r>
      <w:r w:rsidR="008628C2">
        <w:rPr>
          <w:rFonts w:hint="eastAsia"/>
          <w:sz w:val="24"/>
        </w:rPr>
        <w:t>基</w:t>
      </w:r>
      <w:r w:rsidRPr="003C2147">
        <w:rPr>
          <w:rFonts w:hint="eastAsia"/>
          <w:sz w:val="24"/>
        </w:rPr>
        <w:t>协（</w:t>
      </w:r>
      <w:r w:rsidR="008628C2">
        <w:rPr>
          <w:rFonts w:hint="eastAsia"/>
          <w:sz w:val="24"/>
        </w:rPr>
        <w:t>AMAC</w:t>
      </w:r>
      <w:r w:rsidRPr="003C2147">
        <w:rPr>
          <w:rFonts w:hint="eastAsia"/>
          <w:sz w:val="24"/>
        </w:rPr>
        <w:t>）基金行业股票估值指数的通知》（中</w:t>
      </w:r>
      <w:r w:rsidR="008628C2">
        <w:rPr>
          <w:rFonts w:hint="eastAsia"/>
          <w:sz w:val="24"/>
        </w:rPr>
        <w:t>基</w:t>
      </w:r>
      <w:r w:rsidRPr="003C2147">
        <w:rPr>
          <w:rFonts w:hint="eastAsia"/>
          <w:sz w:val="24"/>
        </w:rPr>
        <w:t>协发</w:t>
      </w:r>
      <w:r w:rsidRPr="003C2147">
        <w:rPr>
          <w:rFonts w:hint="eastAsia"/>
          <w:sz w:val="24"/>
        </w:rPr>
        <w:t>[20</w:t>
      </w:r>
      <w:r w:rsidR="008628C2">
        <w:rPr>
          <w:rFonts w:hint="eastAsia"/>
          <w:sz w:val="24"/>
        </w:rPr>
        <w:t>13</w:t>
      </w:r>
      <w:r w:rsidRPr="003C2147">
        <w:rPr>
          <w:rFonts w:hint="eastAsia"/>
          <w:sz w:val="24"/>
        </w:rPr>
        <w:t>]</w:t>
      </w:r>
      <w:r w:rsidR="008628C2">
        <w:rPr>
          <w:rFonts w:hint="eastAsia"/>
          <w:sz w:val="24"/>
        </w:rPr>
        <w:t>13</w:t>
      </w:r>
      <w:r w:rsidRPr="003C2147">
        <w:rPr>
          <w:rFonts w:hint="eastAsia"/>
          <w:sz w:val="24"/>
        </w:rPr>
        <w:t>号）的有关规定，</w:t>
      </w:r>
      <w:r w:rsidR="00EA2D18" w:rsidRPr="003C2147">
        <w:rPr>
          <w:rFonts w:hint="eastAsia"/>
          <w:sz w:val="24"/>
        </w:rPr>
        <w:t>经与托管行协商一致，汇丰晋信基金管理有限公司自</w:t>
      </w:r>
      <w:r w:rsidR="000F0E0D" w:rsidRPr="003C2147">
        <w:rPr>
          <w:sz w:val="24"/>
        </w:rPr>
        <w:t>20</w:t>
      </w:r>
      <w:r w:rsidR="00B74D84">
        <w:rPr>
          <w:rFonts w:hint="eastAsia"/>
          <w:sz w:val="24"/>
        </w:rPr>
        <w:t>2</w:t>
      </w:r>
      <w:r w:rsidR="00093DBF">
        <w:rPr>
          <w:sz w:val="24"/>
        </w:rPr>
        <w:t>5</w:t>
      </w:r>
      <w:r w:rsidR="000F0E0D" w:rsidRPr="003C2147">
        <w:rPr>
          <w:rFonts w:hint="eastAsia"/>
          <w:sz w:val="24"/>
        </w:rPr>
        <w:t>年</w:t>
      </w:r>
      <w:r w:rsidR="00E54841">
        <w:rPr>
          <w:rFonts w:hint="eastAsia"/>
          <w:sz w:val="24"/>
        </w:rPr>
        <w:t>8</w:t>
      </w:r>
      <w:r w:rsidR="000F0E0D" w:rsidRPr="003C2147">
        <w:rPr>
          <w:rFonts w:hint="eastAsia"/>
          <w:sz w:val="24"/>
        </w:rPr>
        <w:t>月</w:t>
      </w:r>
      <w:r w:rsidR="00E54841">
        <w:rPr>
          <w:rFonts w:hint="eastAsia"/>
          <w:sz w:val="24"/>
        </w:rPr>
        <w:t>13</w:t>
      </w:r>
      <w:r w:rsidR="00EA2D18" w:rsidRPr="003C2147">
        <w:rPr>
          <w:rFonts w:hint="eastAsia"/>
          <w:sz w:val="24"/>
        </w:rPr>
        <w:t>日起对</w:t>
      </w:r>
      <w:r w:rsidR="0014538A" w:rsidRPr="003C2147">
        <w:rPr>
          <w:rFonts w:hint="eastAsia"/>
          <w:sz w:val="24"/>
        </w:rPr>
        <w:t>旗下</w:t>
      </w:r>
      <w:r w:rsidR="00110FE2" w:rsidRPr="003C2147">
        <w:rPr>
          <w:rFonts w:hint="eastAsia"/>
          <w:sz w:val="24"/>
        </w:rPr>
        <w:t>基金所持有的停牌证券</w:t>
      </w:r>
      <w:r w:rsidR="00E54841" w:rsidRPr="00E54841">
        <w:rPr>
          <w:sz w:val="24"/>
        </w:rPr>
        <w:t>中国神华</w:t>
      </w:r>
      <w:r w:rsidR="00931D31" w:rsidRPr="003C2147">
        <w:rPr>
          <w:rFonts w:hint="eastAsia"/>
          <w:sz w:val="24"/>
        </w:rPr>
        <w:t>（证券代码：</w:t>
      </w:r>
      <w:r w:rsidR="00E54841" w:rsidRPr="00E54841">
        <w:rPr>
          <w:sz w:val="24"/>
        </w:rPr>
        <w:t>601088</w:t>
      </w:r>
      <w:r w:rsidR="00931D31" w:rsidRPr="003C2147">
        <w:rPr>
          <w:rFonts w:hint="eastAsia"/>
          <w:sz w:val="24"/>
        </w:rPr>
        <w:t>）</w:t>
      </w:r>
      <w:r w:rsidR="00110FE2" w:rsidRPr="003C2147">
        <w:rPr>
          <w:rFonts w:hint="eastAsia"/>
          <w:sz w:val="24"/>
        </w:rPr>
        <w:t>采用“指数</w:t>
      </w:r>
      <w:r w:rsidR="0014538A" w:rsidRPr="003C2147">
        <w:rPr>
          <w:rFonts w:hint="eastAsia"/>
          <w:sz w:val="24"/>
        </w:rPr>
        <w:t>收益法”进行估值</w:t>
      </w:r>
      <w:r w:rsidR="00EA2D18" w:rsidRPr="003C2147">
        <w:rPr>
          <w:rFonts w:hint="eastAsia"/>
          <w:sz w:val="24"/>
        </w:rPr>
        <w:t>。在上述停牌证券复牌且其交易体现活跃市场交易特征后，本公司将恢复按市价估值方法进行估值，届时不再另行公告。</w:t>
      </w:r>
    </w:p>
    <w:p w:rsidR="00D04E64" w:rsidRPr="003C2147" w:rsidRDefault="00526B50" w:rsidP="00395462">
      <w:pPr>
        <w:ind w:firstLineChars="200" w:firstLine="504"/>
        <w:rPr>
          <w:rFonts w:hint="eastAsia"/>
          <w:sz w:val="24"/>
        </w:rPr>
      </w:pPr>
      <w:r w:rsidRPr="003C2147">
        <w:rPr>
          <w:sz w:val="24"/>
        </w:rPr>
        <w:t>本公司旗下</w:t>
      </w:r>
      <w:r w:rsidR="00D04E64" w:rsidRPr="003C2147">
        <w:rPr>
          <w:rFonts w:hint="eastAsia"/>
          <w:sz w:val="24"/>
        </w:rPr>
        <w:t>开放式</w:t>
      </w:r>
      <w:r w:rsidRPr="003C2147">
        <w:rPr>
          <w:sz w:val="24"/>
        </w:rPr>
        <w:t>基金将严格按照《企业会计准则》、中国证监会相关规定和基金合同中关于估值的约定对基金所持有的投资品种进行估值。</w:t>
      </w:r>
      <w:r w:rsidR="00D04E64" w:rsidRPr="003C2147">
        <w:rPr>
          <w:rFonts w:hint="eastAsia"/>
          <w:sz w:val="24"/>
        </w:rPr>
        <w:t>投资者可登录</w:t>
      </w:r>
      <w:r w:rsidR="00395462" w:rsidRPr="003C2147">
        <w:rPr>
          <w:rFonts w:hint="eastAsia"/>
          <w:sz w:val="24"/>
        </w:rPr>
        <w:t>本公司</w:t>
      </w:r>
      <w:r w:rsidR="00D04E64" w:rsidRPr="003C2147">
        <w:rPr>
          <w:rFonts w:hint="eastAsia"/>
          <w:sz w:val="24"/>
        </w:rPr>
        <w:t>网站（</w:t>
      </w:r>
      <w:r w:rsidR="00D04E64" w:rsidRPr="003C2147">
        <w:rPr>
          <w:rFonts w:hint="eastAsia"/>
          <w:sz w:val="24"/>
        </w:rPr>
        <w:t>www.</w:t>
      </w:r>
      <w:r w:rsidR="00395462" w:rsidRPr="003C2147">
        <w:rPr>
          <w:rFonts w:hint="eastAsia"/>
          <w:sz w:val="24"/>
        </w:rPr>
        <w:t>hsbcjt.cn</w:t>
      </w:r>
      <w:r w:rsidR="00395462" w:rsidRPr="003C2147">
        <w:rPr>
          <w:rFonts w:hint="eastAsia"/>
          <w:sz w:val="24"/>
        </w:rPr>
        <w:t>）或拨打本公司</w:t>
      </w:r>
      <w:r w:rsidR="00D04E64" w:rsidRPr="003C2147">
        <w:rPr>
          <w:rFonts w:hint="eastAsia"/>
          <w:sz w:val="24"/>
        </w:rPr>
        <w:t>客户服务电话</w:t>
      </w:r>
      <w:r w:rsidR="00D04E64" w:rsidRPr="003C2147">
        <w:rPr>
          <w:rFonts w:hint="eastAsia"/>
          <w:sz w:val="24"/>
        </w:rPr>
        <w:t>(</w:t>
      </w:r>
      <w:r w:rsidR="00395462" w:rsidRPr="003C2147">
        <w:rPr>
          <w:rFonts w:hint="eastAsia"/>
          <w:sz w:val="24"/>
        </w:rPr>
        <w:t>021-</w:t>
      </w:r>
      <w:r w:rsidR="00F635EF" w:rsidRPr="003C2147">
        <w:rPr>
          <w:rFonts w:hint="eastAsia"/>
          <w:sz w:val="24"/>
        </w:rPr>
        <w:t>20376888</w:t>
      </w:r>
      <w:r w:rsidR="00D04E64" w:rsidRPr="003C2147">
        <w:rPr>
          <w:rFonts w:hint="eastAsia"/>
          <w:sz w:val="24"/>
        </w:rPr>
        <w:t>)</w:t>
      </w:r>
      <w:r w:rsidR="00D04E64" w:rsidRPr="003C2147">
        <w:rPr>
          <w:rFonts w:hint="eastAsia"/>
          <w:sz w:val="24"/>
        </w:rPr>
        <w:t>了解基金份额净值变动情况。</w:t>
      </w:r>
    </w:p>
    <w:p w:rsidR="000344C7" w:rsidRPr="003C2147" w:rsidRDefault="000344C7" w:rsidP="00395462">
      <w:pPr>
        <w:ind w:firstLineChars="200" w:firstLine="504"/>
        <w:rPr>
          <w:rFonts w:hint="eastAsia"/>
          <w:sz w:val="24"/>
        </w:rPr>
      </w:pPr>
    </w:p>
    <w:p w:rsidR="00621B1F" w:rsidRPr="003C2147" w:rsidRDefault="00621B1F" w:rsidP="00395462">
      <w:pPr>
        <w:ind w:firstLineChars="200" w:firstLine="504"/>
        <w:rPr>
          <w:rFonts w:hint="eastAsia"/>
          <w:sz w:val="24"/>
        </w:rPr>
      </w:pPr>
      <w:r w:rsidRPr="003C2147">
        <w:rPr>
          <w:rFonts w:hint="eastAsia"/>
          <w:sz w:val="24"/>
        </w:rPr>
        <w:t>特此公告。</w:t>
      </w:r>
      <w:r w:rsidRPr="003C2147">
        <w:rPr>
          <w:rFonts w:hint="eastAsia"/>
          <w:sz w:val="24"/>
        </w:rPr>
        <w:t xml:space="preserve"> </w:t>
      </w:r>
    </w:p>
    <w:p w:rsidR="003E628F" w:rsidRPr="003C2147" w:rsidRDefault="003E628F" w:rsidP="00395462">
      <w:pPr>
        <w:ind w:firstLineChars="200" w:firstLine="504"/>
        <w:rPr>
          <w:rFonts w:hint="eastAsia"/>
          <w:sz w:val="24"/>
        </w:rPr>
      </w:pPr>
    </w:p>
    <w:p w:rsidR="003E628F" w:rsidRPr="003C2147" w:rsidRDefault="003E628F" w:rsidP="00395462">
      <w:pPr>
        <w:ind w:firstLineChars="200" w:firstLine="504"/>
        <w:rPr>
          <w:rFonts w:hint="eastAsia"/>
          <w:sz w:val="24"/>
        </w:rPr>
      </w:pPr>
      <w:r w:rsidRPr="003C2147">
        <w:rPr>
          <w:rFonts w:hint="eastAsia"/>
          <w:sz w:val="24"/>
        </w:rPr>
        <w:t>风险提示：本基金管理人承诺以诚实信用、勤勉尽责的原则管理和运用基金资产，但不保证本基金一定盈利，也不保证最低收益。基金的过往业绩及其净值高低并不预示其未来业绩表现，基金管理人管理的其他基金的业绩不构成对新基金业绩表现的保证。投资有风险，敬请投资者在投资基金前认真阅读《基金合同》、《招募说明书》</w:t>
      </w:r>
      <w:r w:rsidR="00B74D84">
        <w:rPr>
          <w:rFonts w:hint="eastAsia"/>
          <w:sz w:val="24"/>
        </w:rPr>
        <w:t>、《产品资料概要》</w:t>
      </w:r>
      <w:r w:rsidRPr="003C2147">
        <w:rPr>
          <w:rFonts w:hint="eastAsia"/>
          <w:sz w:val="24"/>
        </w:rPr>
        <w:t>等基金法律文件，了解基金的风险</w:t>
      </w:r>
      <w:r w:rsidRPr="003C2147">
        <w:rPr>
          <w:rFonts w:hint="eastAsia"/>
          <w:sz w:val="24"/>
        </w:rPr>
        <w:lastRenderedPageBreak/>
        <w:t>收益特征，并根据自身的风险承受能力选择适合自己的基金产品。基金管理人提醒投资人基金投资的“买者自负”原则，在做出投资决策后，基金运营状况与基金净值变化引致的投资风险，由投资人自行负担。敬请投资人在购买基金前认真考虑、谨慎决策。</w:t>
      </w:r>
    </w:p>
    <w:p w:rsidR="0029162E" w:rsidRPr="003C2147" w:rsidRDefault="0029162E" w:rsidP="00395462">
      <w:pPr>
        <w:ind w:firstLineChars="200" w:firstLine="504"/>
        <w:rPr>
          <w:rFonts w:hint="eastAsia"/>
          <w:sz w:val="24"/>
        </w:rPr>
      </w:pPr>
    </w:p>
    <w:p w:rsidR="00621B1F" w:rsidRPr="003C2147" w:rsidRDefault="00621B1F" w:rsidP="00476C89">
      <w:pPr>
        <w:wordWrap w:val="0"/>
        <w:ind w:firstLineChars="200" w:firstLine="504"/>
        <w:jc w:val="right"/>
        <w:rPr>
          <w:rFonts w:hint="eastAsia"/>
          <w:sz w:val="24"/>
        </w:rPr>
      </w:pPr>
      <w:r w:rsidRPr="003C2147">
        <w:rPr>
          <w:rFonts w:hint="eastAsia"/>
          <w:sz w:val="24"/>
        </w:rPr>
        <w:t xml:space="preserve">     </w:t>
      </w:r>
      <w:r w:rsidRPr="003C2147">
        <w:rPr>
          <w:rFonts w:hint="eastAsia"/>
          <w:sz w:val="24"/>
        </w:rPr>
        <w:t xml:space="preserve">　</w:t>
      </w:r>
      <w:r w:rsidR="006E0C12" w:rsidRPr="003C2147">
        <w:rPr>
          <w:rFonts w:hint="eastAsia"/>
          <w:sz w:val="24"/>
        </w:rPr>
        <w:t>汇丰晋信</w:t>
      </w:r>
      <w:r w:rsidRPr="003C2147">
        <w:rPr>
          <w:rFonts w:hint="eastAsia"/>
          <w:sz w:val="24"/>
        </w:rPr>
        <w:t>基金管理有限公司</w:t>
      </w:r>
      <w:r w:rsidR="00442226" w:rsidRPr="003C2147">
        <w:rPr>
          <w:rFonts w:hint="eastAsia"/>
          <w:sz w:val="24"/>
        </w:rPr>
        <w:t xml:space="preserve"> </w:t>
      </w:r>
    </w:p>
    <w:p w:rsidR="0028781E" w:rsidRPr="003C2147" w:rsidRDefault="00621B1F" w:rsidP="006B56F4">
      <w:pPr>
        <w:wordWrap w:val="0"/>
        <w:ind w:firstLineChars="200" w:firstLine="504"/>
        <w:jc w:val="right"/>
        <w:rPr>
          <w:rFonts w:hint="eastAsia"/>
          <w:szCs w:val="21"/>
        </w:rPr>
      </w:pPr>
      <w:r w:rsidRPr="003C2147">
        <w:rPr>
          <w:rFonts w:hint="eastAsia"/>
          <w:sz w:val="24"/>
        </w:rPr>
        <w:t xml:space="preserve">     </w:t>
      </w:r>
      <w:r w:rsidRPr="003C2147">
        <w:rPr>
          <w:rFonts w:hint="eastAsia"/>
          <w:sz w:val="24"/>
        </w:rPr>
        <w:t xml:space="preserve">　　</w:t>
      </w:r>
      <w:r w:rsidR="00A539B0" w:rsidRPr="003C2147">
        <w:rPr>
          <w:rFonts w:hint="eastAsia"/>
          <w:sz w:val="24"/>
        </w:rPr>
        <w:t xml:space="preserve"> </w:t>
      </w:r>
      <w:r w:rsidR="00B74D84">
        <w:rPr>
          <w:rFonts w:hint="eastAsia"/>
          <w:sz w:val="24"/>
        </w:rPr>
        <w:t>20</w:t>
      </w:r>
      <w:r w:rsidR="00093DBF">
        <w:rPr>
          <w:sz w:val="24"/>
        </w:rPr>
        <w:t>25</w:t>
      </w:r>
      <w:r w:rsidR="00B74D84">
        <w:rPr>
          <w:rFonts w:hint="eastAsia"/>
          <w:sz w:val="24"/>
        </w:rPr>
        <w:t>年</w:t>
      </w:r>
      <w:r w:rsidR="00E54841">
        <w:rPr>
          <w:rFonts w:hint="eastAsia"/>
          <w:sz w:val="24"/>
        </w:rPr>
        <w:t>8</w:t>
      </w:r>
      <w:r w:rsidRPr="003C2147">
        <w:rPr>
          <w:rFonts w:hint="eastAsia"/>
          <w:sz w:val="24"/>
        </w:rPr>
        <w:t>月</w:t>
      </w:r>
      <w:r w:rsidR="00E54841">
        <w:rPr>
          <w:rFonts w:hint="eastAsia"/>
          <w:sz w:val="24"/>
        </w:rPr>
        <w:t>14</w:t>
      </w:r>
      <w:r w:rsidRPr="003C2147">
        <w:rPr>
          <w:rFonts w:hint="eastAsia"/>
          <w:sz w:val="24"/>
        </w:rPr>
        <w:t>日</w:t>
      </w:r>
      <w:r w:rsidR="00442226" w:rsidRPr="003C2147">
        <w:rPr>
          <w:rFonts w:hint="eastAsia"/>
          <w:szCs w:val="21"/>
        </w:rPr>
        <w:t xml:space="preserve"> </w:t>
      </w:r>
    </w:p>
    <w:sectPr w:rsidR="0028781E" w:rsidRPr="003C2147" w:rsidSect="005D5A57">
      <w:headerReference w:type="default" r:id="rId7"/>
      <w:footerReference w:type="default" r:id="rId8"/>
      <w:pgSz w:w="11907" w:h="16840" w:code="9"/>
      <w:pgMar w:top="2098" w:right="1588" w:bottom="2098" w:left="1588" w:header="851" w:footer="1701" w:gutter="0"/>
      <w:cols w:space="425"/>
      <w:docGrid w:type="linesAndChars" w:linePitch="574" w:charSpace="242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750" w:rsidRDefault="001A3750">
      <w:r>
        <w:separator/>
      </w:r>
    </w:p>
  </w:endnote>
  <w:endnote w:type="continuationSeparator" w:id="0">
    <w:p w:rsidR="001A3750" w:rsidRDefault="001A37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BF9" w:rsidRDefault="00B74D84">
    <w:pPr>
      <w:pStyle w:val="a6"/>
    </w:pPr>
    <w:r>
      <w:rPr>
        <w:noProof/>
      </w:rPr>
      <w:pict>
        <v:shapetype id="_x0000_t202" coordsize="21600,21600" o:spt="202" path="m,l,21600r21600,l21600,xe">
          <v:stroke joinstyle="miter"/>
          <v:path gradientshapeok="t" o:connecttype="rect"/>
        </v:shapetype>
        <v:shape id="MSIPCMaa7c404894bbbae6a4f18312" o:spid="_x0000_s1025" type="#_x0000_t202" alt="{&quot;HashCode&quot;:1316537984,&quot;Height&quot;:842.0,&quot;Width&quot;:595.0,&quot;Placement&quot;:&quot;Footer&quot;,&quot;Index&quot;:&quot;Primary&quot;,&quot;Section&quot;:1,&quot;Top&quot;:0.0,&quot;Left&quot;:0.0}" style="position:absolute;margin-left:0;margin-top:805.45pt;width:595.35pt;height:21.55pt;z-index:251657728;mso-position-horizontal-relative:page;mso-position-vertical-relative:page;v-text-anchor:bottom" o:allowincell="f" filled="f" stroked="f">
          <v:textbox inset=",0,,0">
            <w:txbxContent>
              <w:p w:rsidR="00B74D84" w:rsidRPr="00E54841" w:rsidRDefault="00E54841" w:rsidP="00E54841">
                <w:pPr>
                  <w:jc w:val="center"/>
                  <w:rPr>
                    <w:rFonts w:ascii="Calibri" w:hAnsi="Calibri" w:cs="Calibri"/>
                    <w:color w:val="000000"/>
                    <w:sz w:val="20"/>
                  </w:rPr>
                </w:pPr>
                <w:r w:rsidRPr="00E54841">
                  <w:rPr>
                    <w:rFonts w:ascii="Calibri" w:hAnsi="Calibri" w:cs="Calibri"/>
                    <w:color w:val="000000"/>
                    <w:sz w:val="20"/>
                  </w:rPr>
                  <w:t>PUBLIC</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750" w:rsidRDefault="001A3750">
      <w:r>
        <w:separator/>
      </w:r>
    </w:p>
  </w:footnote>
  <w:footnote w:type="continuationSeparator" w:id="0">
    <w:p w:rsidR="001A3750" w:rsidRDefault="001A37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CFC" w:rsidRDefault="009F1CFC" w:rsidP="00AA2B2B">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HorizontalSpacing w:val="166"/>
  <w:drawingGridVerticalSpacing w:val="287"/>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D1F43"/>
    <w:rsid w:val="000019B1"/>
    <w:rsid w:val="00002011"/>
    <w:rsid w:val="00004FFF"/>
    <w:rsid w:val="000102A9"/>
    <w:rsid w:val="000130FF"/>
    <w:rsid w:val="000209A3"/>
    <w:rsid w:val="000232E7"/>
    <w:rsid w:val="00024356"/>
    <w:rsid w:val="0002482B"/>
    <w:rsid w:val="00032A68"/>
    <w:rsid w:val="000344C7"/>
    <w:rsid w:val="00036098"/>
    <w:rsid w:val="00036144"/>
    <w:rsid w:val="000403EE"/>
    <w:rsid w:val="00044DF3"/>
    <w:rsid w:val="00045CBE"/>
    <w:rsid w:val="000522C3"/>
    <w:rsid w:val="000551F2"/>
    <w:rsid w:val="00055D90"/>
    <w:rsid w:val="000820AD"/>
    <w:rsid w:val="00093DBF"/>
    <w:rsid w:val="0009715E"/>
    <w:rsid w:val="000A702B"/>
    <w:rsid w:val="000B260E"/>
    <w:rsid w:val="000B289A"/>
    <w:rsid w:val="000B5A1E"/>
    <w:rsid w:val="000B5B6D"/>
    <w:rsid w:val="000C2412"/>
    <w:rsid w:val="000C347F"/>
    <w:rsid w:val="000C5BAB"/>
    <w:rsid w:val="000C6FE9"/>
    <w:rsid w:val="000D0726"/>
    <w:rsid w:val="000D62C0"/>
    <w:rsid w:val="000D7C49"/>
    <w:rsid w:val="000F0E0D"/>
    <w:rsid w:val="000F4DA9"/>
    <w:rsid w:val="000F60B1"/>
    <w:rsid w:val="000F7F12"/>
    <w:rsid w:val="00110FE2"/>
    <w:rsid w:val="00113228"/>
    <w:rsid w:val="001145A6"/>
    <w:rsid w:val="001179A6"/>
    <w:rsid w:val="00120285"/>
    <w:rsid w:val="00121C6F"/>
    <w:rsid w:val="00123A97"/>
    <w:rsid w:val="0012627A"/>
    <w:rsid w:val="00134E38"/>
    <w:rsid w:val="001354E5"/>
    <w:rsid w:val="0013564B"/>
    <w:rsid w:val="00140AD5"/>
    <w:rsid w:val="00141E07"/>
    <w:rsid w:val="0014538A"/>
    <w:rsid w:val="001600DC"/>
    <w:rsid w:val="00175342"/>
    <w:rsid w:val="00183C39"/>
    <w:rsid w:val="00184520"/>
    <w:rsid w:val="0018470A"/>
    <w:rsid w:val="00193001"/>
    <w:rsid w:val="00194F7B"/>
    <w:rsid w:val="001A2D30"/>
    <w:rsid w:val="001A33F5"/>
    <w:rsid w:val="001A3750"/>
    <w:rsid w:val="001A7306"/>
    <w:rsid w:val="001B1EE4"/>
    <w:rsid w:val="001B55C8"/>
    <w:rsid w:val="001C34E0"/>
    <w:rsid w:val="001D2442"/>
    <w:rsid w:val="001D5765"/>
    <w:rsid w:val="001E5143"/>
    <w:rsid w:val="001F4918"/>
    <w:rsid w:val="001F5D98"/>
    <w:rsid w:val="0020177B"/>
    <w:rsid w:val="0020202D"/>
    <w:rsid w:val="002111EA"/>
    <w:rsid w:val="00211E07"/>
    <w:rsid w:val="002129F8"/>
    <w:rsid w:val="00220162"/>
    <w:rsid w:val="002214F1"/>
    <w:rsid w:val="00230430"/>
    <w:rsid w:val="00230C1B"/>
    <w:rsid w:val="00231202"/>
    <w:rsid w:val="002371B8"/>
    <w:rsid w:val="0024151C"/>
    <w:rsid w:val="002457CB"/>
    <w:rsid w:val="0025248C"/>
    <w:rsid w:val="00253444"/>
    <w:rsid w:val="0025635F"/>
    <w:rsid w:val="00264D88"/>
    <w:rsid w:val="00267263"/>
    <w:rsid w:val="0027715A"/>
    <w:rsid w:val="00280742"/>
    <w:rsid w:val="002840EB"/>
    <w:rsid w:val="0028781E"/>
    <w:rsid w:val="002914F3"/>
    <w:rsid w:val="0029162E"/>
    <w:rsid w:val="0029622F"/>
    <w:rsid w:val="00297E09"/>
    <w:rsid w:val="002A36EE"/>
    <w:rsid w:val="002B1635"/>
    <w:rsid w:val="002C1384"/>
    <w:rsid w:val="002C221C"/>
    <w:rsid w:val="002C3915"/>
    <w:rsid w:val="002C4C61"/>
    <w:rsid w:val="002E0BCD"/>
    <w:rsid w:val="002E6589"/>
    <w:rsid w:val="002F304A"/>
    <w:rsid w:val="002F4C9D"/>
    <w:rsid w:val="002F5B9A"/>
    <w:rsid w:val="002F6489"/>
    <w:rsid w:val="0030161A"/>
    <w:rsid w:val="003018CD"/>
    <w:rsid w:val="003049FA"/>
    <w:rsid w:val="00312C2F"/>
    <w:rsid w:val="00312DC3"/>
    <w:rsid w:val="003168D3"/>
    <w:rsid w:val="00320C34"/>
    <w:rsid w:val="003223C1"/>
    <w:rsid w:val="003261AC"/>
    <w:rsid w:val="00326B16"/>
    <w:rsid w:val="00331648"/>
    <w:rsid w:val="003427B9"/>
    <w:rsid w:val="00342A3E"/>
    <w:rsid w:val="003438E2"/>
    <w:rsid w:val="003519D5"/>
    <w:rsid w:val="00361B2C"/>
    <w:rsid w:val="00362E1F"/>
    <w:rsid w:val="003631D0"/>
    <w:rsid w:val="00373872"/>
    <w:rsid w:val="00374A2F"/>
    <w:rsid w:val="00385231"/>
    <w:rsid w:val="00395462"/>
    <w:rsid w:val="003A03E2"/>
    <w:rsid w:val="003A6508"/>
    <w:rsid w:val="003B283B"/>
    <w:rsid w:val="003C2147"/>
    <w:rsid w:val="003C305C"/>
    <w:rsid w:val="003C7547"/>
    <w:rsid w:val="003D0FFF"/>
    <w:rsid w:val="003D2A9C"/>
    <w:rsid w:val="003D30D4"/>
    <w:rsid w:val="003D3449"/>
    <w:rsid w:val="003D4C53"/>
    <w:rsid w:val="003D6892"/>
    <w:rsid w:val="003E5DB4"/>
    <w:rsid w:val="003E628F"/>
    <w:rsid w:val="003F1229"/>
    <w:rsid w:val="003F1C9F"/>
    <w:rsid w:val="00406877"/>
    <w:rsid w:val="0040694D"/>
    <w:rsid w:val="0041286C"/>
    <w:rsid w:val="00413119"/>
    <w:rsid w:val="0041769D"/>
    <w:rsid w:val="00423D12"/>
    <w:rsid w:val="00423F7C"/>
    <w:rsid w:val="00433DF4"/>
    <w:rsid w:val="004355A6"/>
    <w:rsid w:val="0043679E"/>
    <w:rsid w:val="00442226"/>
    <w:rsid w:val="00443633"/>
    <w:rsid w:val="0044369A"/>
    <w:rsid w:val="00450E53"/>
    <w:rsid w:val="00451AC1"/>
    <w:rsid w:val="004557E7"/>
    <w:rsid w:val="00461ECC"/>
    <w:rsid w:val="00473370"/>
    <w:rsid w:val="00473C65"/>
    <w:rsid w:val="00476479"/>
    <w:rsid w:val="00476C89"/>
    <w:rsid w:val="00482451"/>
    <w:rsid w:val="00484DB4"/>
    <w:rsid w:val="00487835"/>
    <w:rsid w:val="00490AFE"/>
    <w:rsid w:val="00492A56"/>
    <w:rsid w:val="00494EAC"/>
    <w:rsid w:val="004959B8"/>
    <w:rsid w:val="00496B4D"/>
    <w:rsid w:val="004A0101"/>
    <w:rsid w:val="004A5FBD"/>
    <w:rsid w:val="004B4C9E"/>
    <w:rsid w:val="004C3355"/>
    <w:rsid w:val="004C5598"/>
    <w:rsid w:val="004E6F0F"/>
    <w:rsid w:val="004F29E7"/>
    <w:rsid w:val="004F35C2"/>
    <w:rsid w:val="004F5BF9"/>
    <w:rsid w:val="004F6A05"/>
    <w:rsid w:val="00513915"/>
    <w:rsid w:val="0051477D"/>
    <w:rsid w:val="005165DB"/>
    <w:rsid w:val="00520696"/>
    <w:rsid w:val="005248E4"/>
    <w:rsid w:val="00526B50"/>
    <w:rsid w:val="005323E7"/>
    <w:rsid w:val="00534CD5"/>
    <w:rsid w:val="00545A17"/>
    <w:rsid w:val="00551BA6"/>
    <w:rsid w:val="00554551"/>
    <w:rsid w:val="00554D2D"/>
    <w:rsid w:val="005565BF"/>
    <w:rsid w:val="0056251E"/>
    <w:rsid w:val="005648CF"/>
    <w:rsid w:val="0056656C"/>
    <w:rsid w:val="0057093E"/>
    <w:rsid w:val="0057364C"/>
    <w:rsid w:val="005748CA"/>
    <w:rsid w:val="005760BE"/>
    <w:rsid w:val="00577BAA"/>
    <w:rsid w:val="005863C8"/>
    <w:rsid w:val="00593FDC"/>
    <w:rsid w:val="00597E73"/>
    <w:rsid w:val="005A2C66"/>
    <w:rsid w:val="005A47A5"/>
    <w:rsid w:val="005A4DF7"/>
    <w:rsid w:val="005B0DD2"/>
    <w:rsid w:val="005B58F6"/>
    <w:rsid w:val="005D1897"/>
    <w:rsid w:val="005D3ACF"/>
    <w:rsid w:val="005D5A57"/>
    <w:rsid w:val="005D7926"/>
    <w:rsid w:val="005E2DBD"/>
    <w:rsid w:val="005E3B75"/>
    <w:rsid w:val="005E4330"/>
    <w:rsid w:val="005E7929"/>
    <w:rsid w:val="005F644C"/>
    <w:rsid w:val="005F723C"/>
    <w:rsid w:val="00605EAA"/>
    <w:rsid w:val="00621B1F"/>
    <w:rsid w:val="0062600E"/>
    <w:rsid w:val="006263F7"/>
    <w:rsid w:val="0062725A"/>
    <w:rsid w:val="00630D0A"/>
    <w:rsid w:val="0063455C"/>
    <w:rsid w:val="006350A8"/>
    <w:rsid w:val="00646454"/>
    <w:rsid w:val="006466C2"/>
    <w:rsid w:val="00651A6C"/>
    <w:rsid w:val="006560BD"/>
    <w:rsid w:val="00656D51"/>
    <w:rsid w:val="00681EFC"/>
    <w:rsid w:val="00684A1A"/>
    <w:rsid w:val="00697F70"/>
    <w:rsid w:val="006A7137"/>
    <w:rsid w:val="006B1B7B"/>
    <w:rsid w:val="006B53C7"/>
    <w:rsid w:val="006B56F4"/>
    <w:rsid w:val="006B5898"/>
    <w:rsid w:val="006C4FDC"/>
    <w:rsid w:val="006C720F"/>
    <w:rsid w:val="006D0267"/>
    <w:rsid w:val="006D080E"/>
    <w:rsid w:val="006D3D89"/>
    <w:rsid w:val="006D6787"/>
    <w:rsid w:val="006D68E8"/>
    <w:rsid w:val="006D7236"/>
    <w:rsid w:val="006E065C"/>
    <w:rsid w:val="006E0C12"/>
    <w:rsid w:val="006F0C96"/>
    <w:rsid w:val="006F210E"/>
    <w:rsid w:val="006F3788"/>
    <w:rsid w:val="00701722"/>
    <w:rsid w:val="00701CF4"/>
    <w:rsid w:val="007068B5"/>
    <w:rsid w:val="00706BF4"/>
    <w:rsid w:val="007106DF"/>
    <w:rsid w:val="00714CE0"/>
    <w:rsid w:val="007238C2"/>
    <w:rsid w:val="007338D9"/>
    <w:rsid w:val="00741FDF"/>
    <w:rsid w:val="00752D5E"/>
    <w:rsid w:val="007609A6"/>
    <w:rsid w:val="0076760D"/>
    <w:rsid w:val="0076796E"/>
    <w:rsid w:val="00770E7F"/>
    <w:rsid w:val="00777272"/>
    <w:rsid w:val="00786B7F"/>
    <w:rsid w:val="007877BB"/>
    <w:rsid w:val="00790AD0"/>
    <w:rsid w:val="00791A52"/>
    <w:rsid w:val="0079649D"/>
    <w:rsid w:val="00797BED"/>
    <w:rsid w:val="007A35EE"/>
    <w:rsid w:val="007A3CF3"/>
    <w:rsid w:val="007A75D2"/>
    <w:rsid w:val="007A7870"/>
    <w:rsid w:val="007B0769"/>
    <w:rsid w:val="007B1B77"/>
    <w:rsid w:val="007B377F"/>
    <w:rsid w:val="007C1B2C"/>
    <w:rsid w:val="007D3781"/>
    <w:rsid w:val="007D4C2B"/>
    <w:rsid w:val="007D62AE"/>
    <w:rsid w:val="007E1780"/>
    <w:rsid w:val="007E6B20"/>
    <w:rsid w:val="007E743E"/>
    <w:rsid w:val="007F44CF"/>
    <w:rsid w:val="00810F32"/>
    <w:rsid w:val="00816D03"/>
    <w:rsid w:val="00821B5D"/>
    <w:rsid w:val="00827C85"/>
    <w:rsid w:val="00831BF1"/>
    <w:rsid w:val="00846CD5"/>
    <w:rsid w:val="00850558"/>
    <w:rsid w:val="00852007"/>
    <w:rsid w:val="00855577"/>
    <w:rsid w:val="00855F46"/>
    <w:rsid w:val="008578FB"/>
    <w:rsid w:val="008628C2"/>
    <w:rsid w:val="008633F7"/>
    <w:rsid w:val="008648CD"/>
    <w:rsid w:val="0088113B"/>
    <w:rsid w:val="0088286B"/>
    <w:rsid w:val="00882E82"/>
    <w:rsid w:val="008833E2"/>
    <w:rsid w:val="008A287D"/>
    <w:rsid w:val="008B68E8"/>
    <w:rsid w:val="008B7AEB"/>
    <w:rsid w:val="008C3F31"/>
    <w:rsid w:val="008D1D69"/>
    <w:rsid w:val="008D20BA"/>
    <w:rsid w:val="008E27FB"/>
    <w:rsid w:val="008E2F83"/>
    <w:rsid w:val="008E3E97"/>
    <w:rsid w:val="008F0673"/>
    <w:rsid w:val="008F6B3F"/>
    <w:rsid w:val="009123A2"/>
    <w:rsid w:val="0092398D"/>
    <w:rsid w:val="00926F4B"/>
    <w:rsid w:val="009316F6"/>
    <w:rsid w:val="00931D31"/>
    <w:rsid w:val="00931D57"/>
    <w:rsid w:val="009533C8"/>
    <w:rsid w:val="00955E6B"/>
    <w:rsid w:val="0095730E"/>
    <w:rsid w:val="009576D7"/>
    <w:rsid w:val="00962117"/>
    <w:rsid w:val="0096253B"/>
    <w:rsid w:val="009645DC"/>
    <w:rsid w:val="009729DD"/>
    <w:rsid w:val="00973C64"/>
    <w:rsid w:val="00976F40"/>
    <w:rsid w:val="009823B1"/>
    <w:rsid w:val="00985138"/>
    <w:rsid w:val="00986019"/>
    <w:rsid w:val="00991012"/>
    <w:rsid w:val="00992906"/>
    <w:rsid w:val="00993943"/>
    <w:rsid w:val="009A48BF"/>
    <w:rsid w:val="009A4D8D"/>
    <w:rsid w:val="009B1B45"/>
    <w:rsid w:val="009E675F"/>
    <w:rsid w:val="009F1CFC"/>
    <w:rsid w:val="009F2B7A"/>
    <w:rsid w:val="009F3267"/>
    <w:rsid w:val="00A23729"/>
    <w:rsid w:val="00A23E47"/>
    <w:rsid w:val="00A24252"/>
    <w:rsid w:val="00A27C08"/>
    <w:rsid w:val="00A27C75"/>
    <w:rsid w:val="00A27E55"/>
    <w:rsid w:val="00A333AF"/>
    <w:rsid w:val="00A36B4D"/>
    <w:rsid w:val="00A37030"/>
    <w:rsid w:val="00A37595"/>
    <w:rsid w:val="00A41DF5"/>
    <w:rsid w:val="00A42FC0"/>
    <w:rsid w:val="00A500F0"/>
    <w:rsid w:val="00A5195E"/>
    <w:rsid w:val="00A539B0"/>
    <w:rsid w:val="00A5526C"/>
    <w:rsid w:val="00A57737"/>
    <w:rsid w:val="00A618F0"/>
    <w:rsid w:val="00A61946"/>
    <w:rsid w:val="00A635B9"/>
    <w:rsid w:val="00A63989"/>
    <w:rsid w:val="00A66A75"/>
    <w:rsid w:val="00A722FF"/>
    <w:rsid w:val="00A76017"/>
    <w:rsid w:val="00A821E4"/>
    <w:rsid w:val="00A84291"/>
    <w:rsid w:val="00A84C11"/>
    <w:rsid w:val="00AA2B2B"/>
    <w:rsid w:val="00AA4661"/>
    <w:rsid w:val="00AA557A"/>
    <w:rsid w:val="00AB05FE"/>
    <w:rsid w:val="00AB3C3B"/>
    <w:rsid w:val="00AB5FE6"/>
    <w:rsid w:val="00AC64A2"/>
    <w:rsid w:val="00AC6848"/>
    <w:rsid w:val="00AD1249"/>
    <w:rsid w:val="00AD3686"/>
    <w:rsid w:val="00AD39F8"/>
    <w:rsid w:val="00AE5782"/>
    <w:rsid w:val="00AE5915"/>
    <w:rsid w:val="00AE74D5"/>
    <w:rsid w:val="00AF0C9B"/>
    <w:rsid w:val="00B00DFF"/>
    <w:rsid w:val="00B026C4"/>
    <w:rsid w:val="00B02B9F"/>
    <w:rsid w:val="00B04191"/>
    <w:rsid w:val="00B05333"/>
    <w:rsid w:val="00B20067"/>
    <w:rsid w:val="00B20187"/>
    <w:rsid w:val="00B204DB"/>
    <w:rsid w:val="00B221F7"/>
    <w:rsid w:val="00B24A92"/>
    <w:rsid w:val="00B25E31"/>
    <w:rsid w:val="00B47211"/>
    <w:rsid w:val="00B521C4"/>
    <w:rsid w:val="00B52FC2"/>
    <w:rsid w:val="00B6143C"/>
    <w:rsid w:val="00B66825"/>
    <w:rsid w:val="00B668D7"/>
    <w:rsid w:val="00B74D84"/>
    <w:rsid w:val="00B7618A"/>
    <w:rsid w:val="00B80A6D"/>
    <w:rsid w:val="00B85566"/>
    <w:rsid w:val="00B93506"/>
    <w:rsid w:val="00B93C45"/>
    <w:rsid w:val="00B9607C"/>
    <w:rsid w:val="00BA4408"/>
    <w:rsid w:val="00BA784A"/>
    <w:rsid w:val="00BB3C01"/>
    <w:rsid w:val="00BB4515"/>
    <w:rsid w:val="00BB474A"/>
    <w:rsid w:val="00BC26DD"/>
    <w:rsid w:val="00BC450A"/>
    <w:rsid w:val="00BD31F9"/>
    <w:rsid w:val="00BD64B6"/>
    <w:rsid w:val="00BE2FA0"/>
    <w:rsid w:val="00BE6997"/>
    <w:rsid w:val="00BF4697"/>
    <w:rsid w:val="00BF7C58"/>
    <w:rsid w:val="00C036EB"/>
    <w:rsid w:val="00C22433"/>
    <w:rsid w:val="00C23BA8"/>
    <w:rsid w:val="00C33AAA"/>
    <w:rsid w:val="00C35602"/>
    <w:rsid w:val="00C35B53"/>
    <w:rsid w:val="00C45249"/>
    <w:rsid w:val="00C541FC"/>
    <w:rsid w:val="00C56E76"/>
    <w:rsid w:val="00C575FC"/>
    <w:rsid w:val="00C57BF2"/>
    <w:rsid w:val="00C607F2"/>
    <w:rsid w:val="00C628BC"/>
    <w:rsid w:val="00C63ECE"/>
    <w:rsid w:val="00C66455"/>
    <w:rsid w:val="00C70A54"/>
    <w:rsid w:val="00C816E3"/>
    <w:rsid w:val="00C8187F"/>
    <w:rsid w:val="00C8271B"/>
    <w:rsid w:val="00C85D40"/>
    <w:rsid w:val="00C86809"/>
    <w:rsid w:val="00C925CD"/>
    <w:rsid w:val="00C97F6A"/>
    <w:rsid w:val="00CA022D"/>
    <w:rsid w:val="00CA6D49"/>
    <w:rsid w:val="00CA6EA4"/>
    <w:rsid w:val="00CB03ED"/>
    <w:rsid w:val="00CC5539"/>
    <w:rsid w:val="00CD019B"/>
    <w:rsid w:val="00CD1F43"/>
    <w:rsid w:val="00CD318E"/>
    <w:rsid w:val="00CD4323"/>
    <w:rsid w:val="00CE5C2B"/>
    <w:rsid w:val="00CF5ED9"/>
    <w:rsid w:val="00CF7409"/>
    <w:rsid w:val="00D03CFF"/>
    <w:rsid w:val="00D04E64"/>
    <w:rsid w:val="00D112BB"/>
    <w:rsid w:val="00D12D6B"/>
    <w:rsid w:val="00D1415E"/>
    <w:rsid w:val="00D16716"/>
    <w:rsid w:val="00D32F30"/>
    <w:rsid w:val="00D34B59"/>
    <w:rsid w:val="00D45F0A"/>
    <w:rsid w:val="00D47831"/>
    <w:rsid w:val="00D52FAE"/>
    <w:rsid w:val="00D53CA5"/>
    <w:rsid w:val="00D56097"/>
    <w:rsid w:val="00D6093D"/>
    <w:rsid w:val="00D6247C"/>
    <w:rsid w:val="00D66323"/>
    <w:rsid w:val="00D67ECA"/>
    <w:rsid w:val="00D730D3"/>
    <w:rsid w:val="00D73B68"/>
    <w:rsid w:val="00D75242"/>
    <w:rsid w:val="00D77338"/>
    <w:rsid w:val="00D855B1"/>
    <w:rsid w:val="00D91285"/>
    <w:rsid w:val="00D97174"/>
    <w:rsid w:val="00DA7598"/>
    <w:rsid w:val="00DB13F2"/>
    <w:rsid w:val="00DB44C6"/>
    <w:rsid w:val="00DB5881"/>
    <w:rsid w:val="00DB7C72"/>
    <w:rsid w:val="00DB7DBD"/>
    <w:rsid w:val="00DC5D6F"/>
    <w:rsid w:val="00DD1046"/>
    <w:rsid w:val="00DD35C3"/>
    <w:rsid w:val="00DD3DC2"/>
    <w:rsid w:val="00DE193A"/>
    <w:rsid w:val="00DF05D0"/>
    <w:rsid w:val="00DF6AE6"/>
    <w:rsid w:val="00DF7BF0"/>
    <w:rsid w:val="00E1021B"/>
    <w:rsid w:val="00E1132A"/>
    <w:rsid w:val="00E1374D"/>
    <w:rsid w:val="00E17293"/>
    <w:rsid w:val="00E22064"/>
    <w:rsid w:val="00E278CB"/>
    <w:rsid w:val="00E300AB"/>
    <w:rsid w:val="00E3625B"/>
    <w:rsid w:val="00E42C2A"/>
    <w:rsid w:val="00E42DB2"/>
    <w:rsid w:val="00E4380E"/>
    <w:rsid w:val="00E45D5E"/>
    <w:rsid w:val="00E52F9D"/>
    <w:rsid w:val="00E53820"/>
    <w:rsid w:val="00E54841"/>
    <w:rsid w:val="00E617B7"/>
    <w:rsid w:val="00E66A4D"/>
    <w:rsid w:val="00E73F4A"/>
    <w:rsid w:val="00E76E36"/>
    <w:rsid w:val="00E77058"/>
    <w:rsid w:val="00E82A94"/>
    <w:rsid w:val="00E82D57"/>
    <w:rsid w:val="00E83C27"/>
    <w:rsid w:val="00E84FF1"/>
    <w:rsid w:val="00E91A1C"/>
    <w:rsid w:val="00E93B0C"/>
    <w:rsid w:val="00EA2D18"/>
    <w:rsid w:val="00EB2AD7"/>
    <w:rsid w:val="00EC2213"/>
    <w:rsid w:val="00EC5FC0"/>
    <w:rsid w:val="00ED442B"/>
    <w:rsid w:val="00ED4807"/>
    <w:rsid w:val="00ED6092"/>
    <w:rsid w:val="00ED78A3"/>
    <w:rsid w:val="00EE2E5F"/>
    <w:rsid w:val="00EE40BC"/>
    <w:rsid w:val="00EF757E"/>
    <w:rsid w:val="00F025B5"/>
    <w:rsid w:val="00F04D39"/>
    <w:rsid w:val="00F067BA"/>
    <w:rsid w:val="00F15FEA"/>
    <w:rsid w:val="00F17B4A"/>
    <w:rsid w:val="00F20954"/>
    <w:rsid w:val="00F455B4"/>
    <w:rsid w:val="00F5057E"/>
    <w:rsid w:val="00F52C1E"/>
    <w:rsid w:val="00F54BD9"/>
    <w:rsid w:val="00F55EAD"/>
    <w:rsid w:val="00F635EF"/>
    <w:rsid w:val="00F664B0"/>
    <w:rsid w:val="00F746BA"/>
    <w:rsid w:val="00F7639D"/>
    <w:rsid w:val="00F8184E"/>
    <w:rsid w:val="00F84A09"/>
    <w:rsid w:val="00F84DA8"/>
    <w:rsid w:val="00F87B3A"/>
    <w:rsid w:val="00F9082A"/>
    <w:rsid w:val="00F97589"/>
    <w:rsid w:val="00FA2EDE"/>
    <w:rsid w:val="00FA3201"/>
    <w:rsid w:val="00FA372A"/>
    <w:rsid w:val="00FB4356"/>
    <w:rsid w:val="00FB5E63"/>
    <w:rsid w:val="00FB7814"/>
    <w:rsid w:val="00FC1C6A"/>
    <w:rsid w:val="00FC6889"/>
    <w:rsid w:val="00FD3F3B"/>
    <w:rsid w:val="00FE5F28"/>
    <w:rsid w:val="00FF738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526B50"/>
    <w:rPr>
      <w:strike w:val="0"/>
      <w:dstrike w:val="0"/>
      <w:color w:val="000000"/>
      <w:u w:val="none"/>
      <w:effect w:val="none"/>
    </w:rPr>
  </w:style>
  <w:style w:type="paragraph" w:styleId="a4">
    <w:name w:val="Balloon Text"/>
    <w:basedOn w:val="a"/>
    <w:semiHidden/>
    <w:rsid w:val="00476479"/>
    <w:rPr>
      <w:sz w:val="18"/>
      <w:szCs w:val="18"/>
    </w:rPr>
  </w:style>
  <w:style w:type="paragraph" w:styleId="a5">
    <w:name w:val="header"/>
    <w:basedOn w:val="a"/>
    <w:rsid w:val="0062725A"/>
    <w:pPr>
      <w:pBdr>
        <w:bottom w:val="single" w:sz="6" w:space="1" w:color="auto"/>
      </w:pBdr>
      <w:tabs>
        <w:tab w:val="center" w:pos="4153"/>
        <w:tab w:val="right" w:pos="8306"/>
      </w:tabs>
      <w:snapToGrid w:val="0"/>
      <w:jc w:val="center"/>
    </w:pPr>
    <w:rPr>
      <w:sz w:val="18"/>
      <w:szCs w:val="18"/>
    </w:rPr>
  </w:style>
  <w:style w:type="paragraph" w:styleId="a6">
    <w:name w:val="footer"/>
    <w:basedOn w:val="a"/>
    <w:rsid w:val="0062725A"/>
    <w:pPr>
      <w:tabs>
        <w:tab w:val="center" w:pos="4153"/>
        <w:tab w:val="right" w:pos="8306"/>
      </w:tabs>
      <w:snapToGrid w:val="0"/>
      <w:jc w:val="left"/>
    </w:pPr>
    <w:rPr>
      <w:sz w:val="18"/>
      <w:szCs w:val="18"/>
    </w:rPr>
  </w:style>
  <w:style w:type="character" w:styleId="a7">
    <w:name w:val="Emphasis"/>
    <w:uiPriority w:val="20"/>
    <w:qFormat/>
    <w:rsid w:val="00C63ECE"/>
    <w:rPr>
      <w:i w:val="0"/>
      <w:iCs w:val="0"/>
      <w:color w:val="CC0000"/>
    </w:rPr>
  </w:style>
</w:styles>
</file>

<file path=word/webSettings.xml><?xml version="1.0" encoding="utf-8"?>
<w:webSettings xmlns:r="http://schemas.openxmlformats.org/officeDocument/2006/relationships" xmlns:w="http://schemas.openxmlformats.org/wordprocessingml/2006/main">
  <w:divs>
    <w:div w:id="190729610">
      <w:bodyDiv w:val="1"/>
      <w:marLeft w:val="0"/>
      <w:marRight w:val="0"/>
      <w:marTop w:val="125"/>
      <w:marBottom w:val="0"/>
      <w:divBdr>
        <w:top w:val="none" w:sz="0" w:space="0" w:color="auto"/>
        <w:left w:val="none" w:sz="0" w:space="0" w:color="auto"/>
        <w:bottom w:val="none" w:sz="0" w:space="0" w:color="auto"/>
        <w:right w:val="none" w:sz="0" w:space="0" w:color="auto"/>
      </w:divBdr>
      <w:divsChild>
        <w:div w:id="32507154">
          <w:marLeft w:val="0"/>
          <w:marRight w:val="0"/>
          <w:marTop w:val="0"/>
          <w:marBottom w:val="0"/>
          <w:divBdr>
            <w:top w:val="none" w:sz="0" w:space="0" w:color="auto"/>
            <w:left w:val="none" w:sz="0" w:space="0" w:color="auto"/>
            <w:bottom w:val="none" w:sz="0" w:space="0" w:color="auto"/>
            <w:right w:val="none" w:sz="0" w:space="0" w:color="auto"/>
          </w:divBdr>
          <w:divsChild>
            <w:div w:id="2100566261">
              <w:marLeft w:val="0"/>
              <w:marRight w:val="0"/>
              <w:marTop w:val="0"/>
              <w:marBottom w:val="0"/>
              <w:divBdr>
                <w:top w:val="none" w:sz="0" w:space="0" w:color="auto"/>
                <w:left w:val="single" w:sz="4" w:space="0" w:color="9A9A9A"/>
                <w:bottom w:val="single" w:sz="4" w:space="0" w:color="9A9A9A"/>
                <w:right w:val="single" w:sz="4" w:space="0" w:color="9A9A9A"/>
              </w:divBdr>
              <w:divsChild>
                <w:div w:id="180903269">
                  <w:marLeft w:val="0"/>
                  <w:marRight w:val="0"/>
                  <w:marTop w:val="0"/>
                  <w:marBottom w:val="0"/>
                  <w:divBdr>
                    <w:top w:val="none" w:sz="0" w:space="0" w:color="auto"/>
                    <w:left w:val="none" w:sz="0" w:space="0" w:color="auto"/>
                    <w:bottom w:val="none" w:sz="0" w:space="0" w:color="auto"/>
                    <w:right w:val="none" w:sz="0" w:space="0" w:color="auto"/>
                  </w:divBdr>
                  <w:divsChild>
                    <w:div w:id="462040501">
                      <w:marLeft w:val="0"/>
                      <w:marRight w:val="0"/>
                      <w:marTop w:val="0"/>
                      <w:marBottom w:val="0"/>
                      <w:divBdr>
                        <w:top w:val="none" w:sz="0" w:space="0" w:color="auto"/>
                        <w:left w:val="none" w:sz="0" w:space="0" w:color="auto"/>
                        <w:bottom w:val="none" w:sz="0" w:space="0" w:color="auto"/>
                        <w:right w:val="none" w:sz="0" w:space="0" w:color="auto"/>
                      </w:divBdr>
                      <w:divsChild>
                        <w:div w:id="151069409">
                          <w:marLeft w:val="0"/>
                          <w:marRight w:val="125"/>
                          <w:marTop w:val="188"/>
                          <w:marBottom w:val="0"/>
                          <w:divBdr>
                            <w:top w:val="single" w:sz="4" w:space="0" w:color="CCCCCC"/>
                            <w:left w:val="single" w:sz="4" w:space="0" w:color="CCCCCC"/>
                            <w:bottom w:val="single" w:sz="4" w:space="0" w:color="CCCCCC"/>
                            <w:right w:val="single" w:sz="4" w:space="0" w:color="CCCCCC"/>
                          </w:divBdr>
                          <w:divsChild>
                            <w:div w:id="192696166">
                              <w:marLeft w:val="0"/>
                              <w:marRight w:val="0"/>
                              <w:marTop w:val="0"/>
                              <w:marBottom w:val="0"/>
                              <w:divBdr>
                                <w:top w:val="none" w:sz="0" w:space="0" w:color="auto"/>
                                <w:left w:val="none" w:sz="0" w:space="0" w:color="auto"/>
                                <w:bottom w:val="none" w:sz="0" w:space="0" w:color="auto"/>
                                <w:right w:val="none" w:sz="0" w:space="0" w:color="auto"/>
                              </w:divBdr>
                              <w:divsChild>
                                <w:div w:id="981424270">
                                  <w:marLeft w:val="0"/>
                                  <w:marRight w:val="0"/>
                                  <w:marTop w:val="0"/>
                                  <w:marBottom w:val="0"/>
                                  <w:divBdr>
                                    <w:top w:val="none" w:sz="0" w:space="0" w:color="auto"/>
                                    <w:left w:val="none" w:sz="0" w:space="0" w:color="auto"/>
                                    <w:bottom w:val="none" w:sz="0" w:space="0" w:color="auto"/>
                                    <w:right w:val="none" w:sz="0" w:space="0" w:color="auto"/>
                                  </w:divBdr>
                                </w:div>
                                <w:div w:id="1578979340">
                                  <w:marLeft w:val="0"/>
                                  <w:marRight w:val="0"/>
                                  <w:marTop w:val="0"/>
                                  <w:marBottom w:val="0"/>
                                  <w:divBdr>
                                    <w:top w:val="none" w:sz="0" w:space="0" w:color="auto"/>
                                    <w:left w:val="none" w:sz="0" w:space="0" w:color="auto"/>
                                    <w:bottom w:val="none" w:sz="0" w:space="0" w:color="auto"/>
                                    <w:right w:val="none" w:sz="0" w:space="0" w:color="auto"/>
                                  </w:divBdr>
                                </w:div>
                              </w:divsChild>
                            </w:div>
                            <w:div w:id="1708024226">
                              <w:marLeft w:val="0"/>
                              <w:marRight w:val="0"/>
                              <w:marTop w:val="0"/>
                              <w:marBottom w:val="0"/>
                              <w:divBdr>
                                <w:top w:val="none" w:sz="0" w:space="0" w:color="auto"/>
                                <w:left w:val="none" w:sz="0" w:space="0" w:color="auto"/>
                                <w:bottom w:val="single" w:sz="4" w:space="0" w:color="CCCCCC"/>
                                <w:right w:val="none" w:sz="0" w:space="0" w:color="auto"/>
                              </w:divBdr>
                            </w:div>
                          </w:divsChild>
                        </w:div>
                      </w:divsChild>
                    </w:div>
                  </w:divsChild>
                </w:div>
              </w:divsChild>
            </w:div>
          </w:divsChild>
        </w:div>
      </w:divsChild>
    </w:div>
    <w:div w:id="647440290">
      <w:bodyDiv w:val="1"/>
      <w:marLeft w:val="0"/>
      <w:marRight w:val="0"/>
      <w:marTop w:val="125"/>
      <w:marBottom w:val="0"/>
      <w:divBdr>
        <w:top w:val="none" w:sz="0" w:space="0" w:color="auto"/>
        <w:left w:val="none" w:sz="0" w:space="0" w:color="auto"/>
        <w:bottom w:val="none" w:sz="0" w:space="0" w:color="auto"/>
        <w:right w:val="none" w:sz="0" w:space="0" w:color="auto"/>
      </w:divBdr>
      <w:divsChild>
        <w:div w:id="1752313620">
          <w:marLeft w:val="0"/>
          <w:marRight w:val="0"/>
          <w:marTop w:val="0"/>
          <w:marBottom w:val="0"/>
          <w:divBdr>
            <w:top w:val="none" w:sz="0" w:space="0" w:color="auto"/>
            <w:left w:val="none" w:sz="0" w:space="0" w:color="auto"/>
            <w:bottom w:val="none" w:sz="0" w:space="0" w:color="auto"/>
            <w:right w:val="none" w:sz="0" w:space="0" w:color="auto"/>
          </w:divBdr>
          <w:divsChild>
            <w:div w:id="821701414">
              <w:marLeft w:val="0"/>
              <w:marRight w:val="0"/>
              <w:marTop w:val="0"/>
              <w:marBottom w:val="0"/>
              <w:divBdr>
                <w:top w:val="none" w:sz="0" w:space="0" w:color="auto"/>
                <w:left w:val="single" w:sz="4" w:space="0" w:color="9A9A9A"/>
                <w:bottom w:val="single" w:sz="4" w:space="0" w:color="9A9A9A"/>
                <w:right w:val="single" w:sz="4" w:space="0" w:color="9A9A9A"/>
              </w:divBdr>
              <w:divsChild>
                <w:div w:id="958686059">
                  <w:marLeft w:val="0"/>
                  <w:marRight w:val="0"/>
                  <w:marTop w:val="0"/>
                  <w:marBottom w:val="0"/>
                  <w:divBdr>
                    <w:top w:val="none" w:sz="0" w:space="0" w:color="auto"/>
                    <w:left w:val="none" w:sz="0" w:space="0" w:color="auto"/>
                    <w:bottom w:val="none" w:sz="0" w:space="0" w:color="auto"/>
                    <w:right w:val="none" w:sz="0" w:space="0" w:color="auto"/>
                  </w:divBdr>
                  <w:divsChild>
                    <w:div w:id="298265364">
                      <w:marLeft w:val="0"/>
                      <w:marRight w:val="0"/>
                      <w:marTop w:val="0"/>
                      <w:marBottom w:val="0"/>
                      <w:divBdr>
                        <w:top w:val="none" w:sz="0" w:space="0" w:color="auto"/>
                        <w:left w:val="none" w:sz="0" w:space="0" w:color="auto"/>
                        <w:bottom w:val="none" w:sz="0" w:space="0" w:color="auto"/>
                        <w:right w:val="none" w:sz="0" w:space="0" w:color="auto"/>
                      </w:divBdr>
                      <w:divsChild>
                        <w:div w:id="1271010102">
                          <w:marLeft w:val="0"/>
                          <w:marRight w:val="125"/>
                          <w:marTop w:val="188"/>
                          <w:marBottom w:val="0"/>
                          <w:divBdr>
                            <w:top w:val="single" w:sz="4" w:space="0" w:color="CCCCCC"/>
                            <w:left w:val="single" w:sz="4" w:space="0" w:color="CCCCCC"/>
                            <w:bottom w:val="single" w:sz="4" w:space="0" w:color="CCCCCC"/>
                            <w:right w:val="single" w:sz="4" w:space="0" w:color="CCCCCC"/>
                          </w:divBdr>
                          <w:divsChild>
                            <w:div w:id="781072139">
                              <w:marLeft w:val="0"/>
                              <w:marRight w:val="0"/>
                              <w:marTop w:val="0"/>
                              <w:marBottom w:val="0"/>
                              <w:divBdr>
                                <w:top w:val="none" w:sz="0" w:space="0" w:color="auto"/>
                                <w:left w:val="none" w:sz="0" w:space="0" w:color="auto"/>
                                <w:bottom w:val="none" w:sz="0" w:space="0" w:color="auto"/>
                                <w:right w:val="none" w:sz="0" w:space="0" w:color="auto"/>
                              </w:divBdr>
                              <w:divsChild>
                                <w:div w:id="548418549">
                                  <w:marLeft w:val="0"/>
                                  <w:marRight w:val="0"/>
                                  <w:marTop w:val="0"/>
                                  <w:marBottom w:val="0"/>
                                  <w:divBdr>
                                    <w:top w:val="none" w:sz="0" w:space="0" w:color="auto"/>
                                    <w:left w:val="none" w:sz="0" w:space="0" w:color="auto"/>
                                    <w:bottom w:val="none" w:sz="0" w:space="0" w:color="auto"/>
                                    <w:right w:val="none" w:sz="0" w:space="0" w:color="auto"/>
                                  </w:divBdr>
                                </w:div>
                                <w:div w:id="953483975">
                                  <w:marLeft w:val="0"/>
                                  <w:marRight w:val="0"/>
                                  <w:marTop w:val="0"/>
                                  <w:marBottom w:val="0"/>
                                  <w:divBdr>
                                    <w:top w:val="none" w:sz="0" w:space="0" w:color="auto"/>
                                    <w:left w:val="none" w:sz="0" w:space="0" w:color="auto"/>
                                    <w:bottom w:val="none" w:sz="0" w:space="0" w:color="auto"/>
                                    <w:right w:val="none" w:sz="0" w:space="0" w:color="auto"/>
                                  </w:divBdr>
                                </w:div>
                              </w:divsChild>
                            </w:div>
                            <w:div w:id="1973439855">
                              <w:marLeft w:val="0"/>
                              <w:marRight w:val="0"/>
                              <w:marTop w:val="0"/>
                              <w:marBottom w:val="0"/>
                              <w:divBdr>
                                <w:top w:val="none" w:sz="0" w:space="0" w:color="auto"/>
                                <w:left w:val="none" w:sz="0" w:space="0" w:color="auto"/>
                                <w:bottom w:val="single" w:sz="4" w:space="0" w:color="CCCCCC"/>
                                <w:right w:val="none" w:sz="0" w:space="0" w:color="auto"/>
                              </w:divBdr>
                            </w:div>
                          </w:divsChild>
                        </w:div>
                      </w:divsChild>
                    </w:div>
                  </w:divsChild>
                </w:div>
              </w:divsChild>
            </w:div>
          </w:divsChild>
        </w:div>
      </w:divsChild>
    </w:div>
    <w:div w:id="1057703292">
      <w:bodyDiv w:val="1"/>
      <w:marLeft w:val="0"/>
      <w:marRight w:val="0"/>
      <w:marTop w:val="0"/>
      <w:marBottom w:val="0"/>
      <w:divBdr>
        <w:top w:val="none" w:sz="0" w:space="0" w:color="auto"/>
        <w:left w:val="none" w:sz="0" w:space="0" w:color="auto"/>
        <w:bottom w:val="none" w:sz="0" w:space="0" w:color="auto"/>
        <w:right w:val="none" w:sz="0" w:space="0" w:color="auto"/>
      </w:divBdr>
      <w:divsChild>
        <w:div w:id="1823542101">
          <w:marLeft w:val="0"/>
          <w:marRight w:val="0"/>
          <w:marTop w:val="0"/>
          <w:marBottom w:val="0"/>
          <w:divBdr>
            <w:top w:val="none" w:sz="0" w:space="0" w:color="auto"/>
            <w:left w:val="none" w:sz="0" w:space="0" w:color="auto"/>
            <w:bottom w:val="none" w:sz="0" w:space="0" w:color="auto"/>
            <w:right w:val="none" w:sz="0" w:space="0" w:color="auto"/>
          </w:divBdr>
          <w:divsChild>
            <w:div w:id="1776289381">
              <w:marLeft w:val="0"/>
              <w:marRight w:val="0"/>
              <w:marTop w:val="0"/>
              <w:marBottom w:val="0"/>
              <w:divBdr>
                <w:top w:val="none" w:sz="0" w:space="0" w:color="auto"/>
                <w:left w:val="single" w:sz="4" w:space="0" w:color="999999"/>
                <w:bottom w:val="single" w:sz="4" w:space="0" w:color="999999"/>
                <w:right w:val="single" w:sz="4" w:space="0" w:color="999999"/>
              </w:divBdr>
              <w:divsChild>
                <w:div w:id="833765133">
                  <w:marLeft w:val="0"/>
                  <w:marRight w:val="0"/>
                  <w:marTop w:val="0"/>
                  <w:marBottom w:val="0"/>
                  <w:divBdr>
                    <w:top w:val="none" w:sz="0" w:space="0" w:color="auto"/>
                    <w:left w:val="none" w:sz="0" w:space="0" w:color="auto"/>
                    <w:bottom w:val="none" w:sz="0" w:space="0" w:color="auto"/>
                    <w:right w:val="none" w:sz="0" w:space="0" w:color="auto"/>
                  </w:divBdr>
                  <w:divsChild>
                    <w:div w:id="339935490">
                      <w:marLeft w:val="0"/>
                      <w:marRight w:val="0"/>
                      <w:marTop w:val="0"/>
                      <w:marBottom w:val="0"/>
                      <w:divBdr>
                        <w:top w:val="none" w:sz="0" w:space="0" w:color="auto"/>
                        <w:left w:val="none" w:sz="0" w:space="0" w:color="auto"/>
                        <w:bottom w:val="none" w:sz="0" w:space="0" w:color="auto"/>
                        <w:right w:val="none" w:sz="0" w:space="0" w:color="auto"/>
                      </w:divBdr>
                      <w:divsChild>
                        <w:div w:id="187049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254672">
      <w:bodyDiv w:val="1"/>
      <w:marLeft w:val="0"/>
      <w:marRight w:val="0"/>
      <w:marTop w:val="0"/>
      <w:marBottom w:val="0"/>
      <w:divBdr>
        <w:top w:val="none" w:sz="0" w:space="0" w:color="auto"/>
        <w:left w:val="none" w:sz="0" w:space="0" w:color="auto"/>
        <w:bottom w:val="none" w:sz="0" w:space="0" w:color="auto"/>
        <w:right w:val="none" w:sz="0" w:space="0" w:color="auto"/>
      </w:divBdr>
      <w:divsChild>
        <w:div w:id="480931737">
          <w:marLeft w:val="0"/>
          <w:marRight w:val="0"/>
          <w:marTop w:val="0"/>
          <w:marBottom w:val="0"/>
          <w:divBdr>
            <w:top w:val="none" w:sz="0" w:space="0" w:color="auto"/>
            <w:left w:val="none" w:sz="0" w:space="0" w:color="auto"/>
            <w:bottom w:val="none" w:sz="0" w:space="0" w:color="auto"/>
            <w:right w:val="none" w:sz="0" w:space="0" w:color="auto"/>
          </w:divBdr>
          <w:divsChild>
            <w:div w:id="631061943">
              <w:marLeft w:val="0"/>
              <w:marRight w:val="0"/>
              <w:marTop w:val="0"/>
              <w:marBottom w:val="0"/>
              <w:divBdr>
                <w:top w:val="none" w:sz="0" w:space="0" w:color="auto"/>
                <w:left w:val="single" w:sz="4" w:space="0" w:color="999999"/>
                <w:bottom w:val="single" w:sz="4" w:space="0" w:color="999999"/>
                <w:right w:val="single" w:sz="4" w:space="0" w:color="999999"/>
              </w:divBdr>
              <w:divsChild>
                <w:div w:id="822814200">
                  <w:marLeft w:val="0"/>
                  <w:marRight w:val="0"/>
                  <w:marTop w:val="0"/>
                  <w:marBottom w:val="0"/>
                  <w:divBdr>
                    <w:top w:val="none" w:sz="0" w:space="0" w:color="auto"/>
                    <w:left w:val="none" w:sz="0" w:space="0" w:color="auto"/>
                    <w:bottom w:val="none" w:sz="0" w:space="0" w:color="auto"/>
                    <w:right w:val="none" w:sz="0" w:space="0" w:color="auto"/>
                  </w:divBdr>
                  <w:divsChild>
                    <w:div w:id="584997278">
                      <w:marLeft w:val="0"/>
                      <w:marRight w:val="0"/>
                      <w:marTop w:val="0"/>
                      <w:marBottom w:val="0"/>
                      <w:divBdr>
                        <w:top w:val="none" w:sz="0" w:space="0" w:color="auto"/>
                        <w:left w:val="none" w:sz="0" w:space="0" w:color="auto"/>
                        <w:bottom w:val="none" w:sz="0" w:space="0" w:color="auto"/>
                        <w:right w:val="none" w:sz="0" w:space="0" w:color="auto"/>
                      </w:divBdr>
                      <w:divsChild>
                        <w:div w:id="192063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B3B61-B9CF-4039-AB84-2F313009F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111</Words>
  <Characters>637</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汇丰晋信旗下基金持有的停牌股票采用指数收益法进行估值的提示性公告</vt:lpstr>
    </vt:vector>
  </TitlesOfParts>
  <Company>HSBCJT</Company>
  <LinksUpToDate>false</LinksUpToDate>
  <CharactersWithSpaces>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20250814汇丰晋信旗下基金持有的停牌股票采用指数收益法进行估值的提示性公告</dc:title>
  <dc:subject/>
  <dc:creator>Cindy Zhou</dc:creator>
  <cp:keywords>PUBLIC</cp:keywords>
  <dc:description>PUBLIC</dc:description>
  <cp:lastModifiedBy>ZHONGM</cp:lastModifiedBy>
  <cp:revision>2</cp:revision>
  <cp:lastPrinted>2025-08-13T09:45:00Z</cp:lastPrinted>
  <dcterms:created xsi:type="dcterms:W3CDTF">2025-08-13T16:01:00Z</dcterms:created>
  <dcterms:modified xsi:type="dcterms:W3CDTF">2025-08-13T16:01:00Z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Internal</vt:lpwstr>
  </property>
  <property fmtid="{D5CDD505-2E9C-101B-9397-08002B2CF9AE}" pid="3" name="Footers">
    <vt:lpwstr>No Footers</vt:lpwstr>
  </property>
  <property fmtid="{D5CDD505-2E9C-101B-9397-08002B2CF9AE}" pid="4" name="MSIP_Label_3486a02c-2dfb-4efe-823f-aa2d1f0e6ab7_Enabled">
    <vt:lpwstr>true</vt:lpwstr>
  </property>
  <property fmtid="{D5CDD505-2E9C-101B-9397-08002B2CF9AE}" pid="5" name="MSIP_Label_3486a02c-2dfb-4efe-823f-aa2d1f0e6ab7_SetDate">
    <vt:lpwstr>2025-08-13T09:48:09Z</vt:lpwstr>
  </property>
  <property fmtid="{D5CDD505-2E9C-101B-9397-08002B2CF9AE}" pid="6" name="MSIP_Label_3486a02c-2dfb-4efe-823f-aa2d1f0e6ab7_Method">
    <vt:lpwstr>Standard</vt:lpwstr>
  </property>
  <property fmtid="{D5CDD505-2E9C-101B-9397-08002B2CF9AE}" pid="7" name="MSIP_Label_3486a02c-2dfb-4efe-823f-aa2d1f0e6ab7_Name">
    <vt:lpwstr>CLAPUBLIC</vt:lpwstr>
  </property>
  <property fmtid="{D5CDD505-2E9C-101B-9397-08002B2CF9AE}" pid="8" name="MSIP_Label_3486a02c-2dfb-4efe-823f-aa2d1f0e6ab7_SiteId">
    <vt:lpwstr>e0fd434d-ba64-497b-90d2-859c472e1a92</vt:lpwstr>
  </property>
  <property fmtid="{D5CDD505-2E9C-101B-9397-08002B2CF9AE}" pid="9" name="MSIP_Label_3486a02c-2dfb-4efe-823f-aa2d1f0e6ab7_ActionId">
    <vt:lpwstr>7ba6ad3c-805e-461d-a880-cf73234e6819</vt:lpwstr>
  </property>
  <property fmtid="{D5CDD505-2E9C-101B-9397-08002B2CF9AE}" pid="10" name="MSIP_Label_3486a02c-2dfb-4efe-823f-aa2d1f0e6ab7_ContentBits">
    <vt:lpwstr>2</vt:lpwstr>
  </property>
  <property fmtid="{D5CDD505-2E9C-101B-9397-08002B2CF9AE}" pid="11" name="Classification">
    <vt:lpwstr>PUBLIC</vt:lpwstr>
  </property>
</Properties>
</file>