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4FBB">
      <w:pPr>
        <w:pStyle w:val="Default"/>
        <w:jc w:val="center"/>
        <w:rPr>
          <w:rFonts w:ascii="宋体" w:eastAsia="宋体" w:hAnsi="宋体" w:cs="宋体"/>
          <w:color w:val="auto"/>
          <w:sz w:val="36"/>
          <w:szCs w:val="36"/>
        </w:rPr>
      </w:pPr>
      <w:r>
        <w:rPr>
          <w:rFonts w:ascii="宋体" w:eastAsia="宋体" w:hAnsi="宋体" w:cs="宋体" w:hint="eastAsia"/>
          <w:color w:val="auto"/>
          <w:sz w:val="36"/>
          <w:szCs w:val="36"/>
        </w:rPr>
        <w:t>兴业天融债券型证券投资基金恢复大额申购</w:t>
      </w:r>
    </w:p>
    <w:p w:rsidR="00000000" w:rsidRDefault="00284FBB">
      <w:pPr>
        <w:pStyle w:val="Default"/>
        <w:jc w:val="center"/>
        <w:rPr>
          <w:b/>
          <w:color w:val="0D4A83"/>
          <w:sz w:val="36"/>
          <w:szCs w:val="36"/>
        </w:rPr>
      </w:pPr>
      <w:r>
        <w:rPr>
          <w:rFonts w:ascii="宋体" w:eastAsia="宋体" w:hAnsi="宋体" w:cs="宋体"/>
          <w:color w:val="auto"/>
          <w:sz w:val="36"/>
          <w:szCs w:val="36"/>
        </w:rPr>
        <w:t>(</w:t>
      </w:r>
      <w:r>
        <w:rPr>
          <w:rFonts w:ascii="宋体" w:eastAsia="宋体" w:hAnsi="宋体" w:cs="宋体" w:hint="eastAsia"/>
          <w:color w:val="auto"/>
          <w:sz w:val="36"/>
          <w:szCs w:val="36"/>
        </w:rPr>
        <w:t>含转换转入和定期定额投</w:t>
      </w:r>
      <w:r>
        <w:rPr>
          <w:rFonts w:ascii="宋体" w:eastAsia="宋体" w:hAnsi="宋体" w:cs="宋体" w:hint="eastAsia"/>
          <w:color w:val="auto"/>
          <w:sz w:val="36"/>
          <w:szCs w:val="36"/>
        </w:rPr>
        <w:t>资</w:t>
      </w:r>
      <w:r>
        <w:rPr>
          <w:rFonts w:ascii="宋体" w:eastAsia="宋体" w:hAnsi="宋体" w:cs="宋体"/>
          <w:color w:val="auto"/>
          <w:sz w:val="36"/>
          <w:szCs w:val="36"/>
        </w:rPr>
        <w:t>)</w:t>
      </w:r>
      <w:r>
        <w:rPr>
          <w:rFonts w:ascii="宋体" w:eastAsia="宋体" w:hAnsi="宋体" w:cs="宋体" w:hint="eastAsia"/>
          <w:color w:val="auto"/>
          <w:sz w:val="36"/>
          <w:szCs w:val="36"/>
        </w:rPr>
        <w:t>的公告</w:t>
      </w:r>
    </w:p>
    <w:p w:rsidR="00000000" w:rsidRDefault="00284FBB">
      <w:pPr>
        <w:pStyle w:val="Default"/>
        <w:jc w:val="center"/>
        <w:rPr>
          <w:rFonts w:ascii="宋体" w:eastAsia="宋体" w:cs="宋体"/>
          <w:sz w:val="23"/>
          <w:szCs w:val="23"/>
        </w:rPr>
      </w:pPr>
    </w:p>
    <w:p w:rsidR="00000000" w:rsidRDefault="00284FBB"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公告送出日期：</w:t>
      </w:r>
      <w:bookmarkStart w:id="0" w:name="t_6_0_0003_a1_fm1"/>
      <w:bookmarkEnd w:id="0"/>
      <w:r>
        <w:rPr>
          <w:rFonts w:ascii="宋体" w:hAnsi="宋体" w:cs="Times New Roman"/>
          <w:sz w:val="24"/>
          <w:szCs w:val="24"/>
          <w:lang/>
        </w:rPr>
        <w:t>2025</w:t>
      </w:r>
      <w:r>
        <w:rPr>
          <w:rFonts w:ascii="宋体" w:hAnsi="宋体" w:cs="Times New Roman" w:hint="eastAsia"/>
          <w:sz w:val="24"/>
          <w:szCs w:val="24"/>
          <w:lang/>
        </w:rPr>
        <w:t>年</w:t>
      </w:r>
      <w:r>
        <w:rPr>
          <w:rFonts w:ascii="宋体" w:hAnsi="宋体" w:cs="Times New Roman"/>
          <w:sz w:val="24"/>
          <w:szCs w:val="24"/>
          <w:lang/>
        </w:rPr>
        <w:t>8</w:t>
      </w:r>
      <w:r>
        <w:rPr>
          <w:rFonts w:ascii="宋体" w:hAnsi="宋体" w:cs="Times New Roman" w:hint="eastAsia"/>
          <w:sz w:val="24"/>
          <w:szCs w:val="24"/>
          <w:lang/>
        </w:rPr>
        <w:t>月</w:t>
      </w:r>
      <w:r>
        <w:rPr>
          <w:rFonts w:ascii="宋体" w:hAnsi="宋体" w:cs="Times New Roman"/>
          <w:sz w:val="24"/>
          <w:szCs w:val="24"/>
          <w:lang/>
        </w:rPr>
        <w:t>14</w:t>
      </w:r>
      <w:r>
        <w:rPr>
          <w:rFonts w:ascii="宋体" w:hAnsi="宋体" w:cs="Times New Roman" w:hint="eastAsia"/>
          <w:sz w:val="24"/>
          <w:szCs w:val="24"/>
          <w:lang/>
        </w:rPr>
        <w:t>日</w:t>
      </w:r>
    </w:p>
    <w:p w:rsidR="00000000" w:rsidRDefault="00284FBB">
      <w:pPr>
        <w:pStyle w:val="Default"/>
        <w:rPr>
          <w:rFonts w:ascii="宋体" w:eastAsia="宋体" w:hAnsi="宋体" w:cs="宋体"/>
          <w:b/>
        </w:rPr>
      </w:pPr>
      <w:r>
        <w:rPr>
          <w:rFonts w:ascii="宋体" w:eastAsia="宋体" w:hAnsi="宋体" w:cs="宋体"/>
          <w:b/>
        </w:rPr>
        <w:t>1</w:t>
      </w:r>
      <w:r>
        <w:rPr>
          <w:rFonts w:ascii="宋体" w:eastAsia="宋体" w:hAnsi="宋体" w:cs="宋体" w:hint="eastAsia"/>
          <w:b/>
        </w:rPr>
        <w:t>、公告基本信息</w:t>
      </w:r>
      <w:r>
        <w:rPr>
          <w:rFonts w:ascii="宋体" w:eastAsia="宋体" w:hAnsi="宋体" w:cs="宋体"/>
          <w:b/>
        </w:rPr>
        <w:t xml:space="preserve"> </w:t>
      </w:r>
    </w:p>
    <w:tbl>
      <w:tblPr>
        <w:tblpPr w:leftFromText="180" w:rightFromText="180" w:vertAnchor="text" w:horzAnchor="margin" w:tblpY="185"/>
        <w:tblW w:w="0" w:type="auto"/>
        <w:tblLayout w:type="fixed"/>
        <w:tblLook w:val="0000"/>
      </w:tblPr>
      <w:tblGrid>
        <w:gridCol w:w="1809"/>
        <w:gridCol w:w="2410"/>
        <w:gridCol w:w="2121"/>
        <w:gridCol w:w="2202"/>
      </w:tblGrid>
      <w:tr w:rsidR="00000000">
        <w:trPr>
          <w:trHeight w:val="29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基金名称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兴业天融债券型证券投资基金</w:t>
            </w:r>
          </w:p>
        </w:tc>
      </w:tr>
      <w:tr w:rsidR="00000000">
        <w:trPr>
          <w:trHeight w:val="298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基金简称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兴业天融债券</w:t>
            </w:r>
          </w:p>
        </w:tc>
      </w:tr>
      <w:tr w:rsidR="00000000">
        <w:trPr>
          <w:trHeight w:val="298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基金主代码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002638</w:t>
            </w:r>
          </w:p>
        </w:tc>
      </w:tr>
      <w:tr w:rsidR="00000000">
        <w:trPr>
          <w:trHeight w:val="29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基金管理人名称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兴业基金管理有限公司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000000">
        <w:trPr>
          <w:trHeight w:val="89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公告依据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根据《中华人民共和国证券投资基金法》及其配套法规与《兴业天融债券型证券投资基金基金合同》的有关规定</w:t>
            </w:r>
            <w:r>
              <w:rPr>
                <w:rFonts w:ascii="宋体" w:eastAsia="宋体" w:cs="宋体"/>
                <w:sz w:val="21"/>
                <w:szCs w:val="21"/>
              </w:rPr>
              <w:t xml:space="preserve"> </w:t>
            </w:r>
          </w:p>
        </w:tc>
      </w:tr>
      <w:tr w:rsidR="00000000">
        <w:trPr>
          <w:trHeight w:val="606"/>
        </w:trPr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284FBB">
            <w:pPr>
              <w:pStyle w:val="Defaul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恢复相关业务的日期及原因说明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pPr>
              <w:rPr>
                <w:rFonts w:ascii="宋体"/>
              </w:rPr>
            </w:pPr>
            <w:r>
              <w:rPr>
                <w:rFonts w:hint="eastAsia"/>
              </w:rPr>
              <w:t>恢复大额申购、转换转入、定期定额投资日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cs="Times New Roman"/>
                <w:szCs w:val="22"/>
                <w:lang/>
              </w:rPr>
              <w:t>2025</w:t>
            </w:r>
            <w:r>
              <w:rPr>
                <w:rFonts w:ascii="宋体" w:hAnsi="宋体" w:cs="Times New Roman" w:hint="eastAsia"/>
                <w:szCs w:val="22"/>
                <w:lang/>
              </w:rPr>
              <w:t>年</w:t>
            </w:r>
            <w:r>
              <w:rPr>
                <w:rFonts w:ascii="宋体" w:hAnsi="宋体" w:cs="Times New Roman"/>
                <w:szCs w:val="22"/>
                <w:lang/>
              </w:rPr>
              <w:t>8</w:t>
            </w:r>
            <w:r>
              <w:rPr>
                <w:rFonts w:ascii="宋体" w:hAnsi="宋体" w:cs="Times New Roman" w:hint="eastAsia"/>
                <w:szCs w:val="22"/>
                <w:lang/>
              </w:rPr>
              <w:t>月</w:t>
            </w:r>
            <w:r>
              <w:rPr>
                <w:rFonts w:ascii="宋体" w:hAnsi="宋体" w:cs="Times New Roman"/>
                <w:szCs w:val="22"/>
                <w:lang/>
              </w:rPr>
              <w:t>15</w:t>
            </w:r>
            <w:r>
              <w:rPr>
                <w:rFonts w:ascii="宋体" w:hAnsi="宋体" w:cs="Times New Roman" w:hint="eastAsia"/>
                <w:szCs w:val="22"/>
                <w:lang/>
              </w:rPr>
              <w:t>日</w:t>
            </w:r>
          </w:p>
        </w:tc>
      </w:tr>
      <w:tr w:rsidR="00000000">
        <w:trPr>
          <w:trHeight w:val="723"/>
        </w:trPr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pPr>
              <w:rPr>
                <w:rFonts w:ascii="宋体"/>
              </w:rPr>
            </w:pPr>
            <w:r>
              <w:rPr>
                <w:rFonts w:hint="eastAsia"/>
              </w:rPr>
              <w:t>恢复大额申购、转换</w:t>
            </w:r>
            <w:r>
              <w:rPr>
                <w:rFonts w:hint="eastAsia"/>
              </w:rPr>
              <w:t>转入、定期定额投资的原因说明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pPr>
              <w:pStyle w:val="Default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为满足广大投资者的需求，更好地运作基金资产</w:t>
            </w:r>
          </w:p>
        </w:tc>
      </w:tr>
      <w:tr w:rsidR="00000000">
        <w:trPr>
          <w:trHeight w:val="336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r>
              <w:rPr>
                <w:rFonts w:ascii="宋体" w:hAnsi="宋体" w:cs="Times New Roman" w:hint="eastAsia"/>
                <w:lang/>
              </w:rPr>
              <w:t>下属分级基金的基金简称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4FBB">
            <w:pPr>
              <w:pStyle w:val="Defaul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兴业天融债券</w:t>
            </w:r>
            <w:r>
              <w:rPr>
                <w:rFonts w:ascii="宋体" w:eastAsia="宋体" w:cs="宋体"/>
                <w:sz w:val="21"/>
                <w:szCs w:val="21"/>
              </w:rPr>
              <w:t>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4FBB">
            <w:pPr>
              <w:pStyle w:val="Defaul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  <w:szCs w:val="21"/>
                <w:lang/>
              </w:rPr>
              <w:t>兴业天融债券</w:t>
            </w:r>
            <w:r>
              <w:rPr>
                <w:rFonts w:ascii="宋体" w:eastAsia="宋体" w:hAnsi="宋体" w:cs="Times New Roman"/>
                <w:kern w:val="2"/>
                <w:sz w:val="21"/>
                <w:szCs w:val="21"/>
                <w:lang/>
              </w:rPr>
              <w:t>C</w:t>
            </w:r>
          </w:p>
        </w:tc>
      </w:tr>
      <w:tr w:rsidR="00000000">
        <w:trPr>
          <w:trHeight w:val="303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r>
              <w:rPr>
                <w:rFonts w:ascii="宋体" w:hAnsi="宋体" w:cs="Times New Roman" w:hint="eastAsia"/>
                <w:lang/>
              </w:rPr>
              <w:t>下属分级基金的交易代码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4FBB">
            <w:pPr>
              <w:pStyle w:val="Defaul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002638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4FBB">
            <w:pPr>
              <w:pStyle w:val="Defaul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kern w:val="2"/>
                <w:sz w:val="21"/>
                <w:szCs w:val="21"/>
                <w:lang/>
              </w:rPr>
              <w:t>021408</w:t>
            </w:r>
          </w:p>
        </w:tc>
      </w:tr>
      <w:tr w:rsidR="00000000">
        <w:trPr>
          <w:trHeight w:val="556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4FBB">
            <w:r>
              <w:rPr>
                <w:rFonts w:ascii="宋体" w:hAnsi="宋体" w:cs="Times New Roman" w:hint="eastAsia"/>
                <w:lang/>
              </w:rPr>
              <w:t>该分级基金是否</w:t>
            </w:r>
            <w:r>
              <w:rPr>
                <w:rFonts w:ascii="宋体" w:hAnsi="宋体" w:hint="eastAsia"/>
                <w:lang/>
              </w:rPr>
              <w:t>恢复</w:t>
            </w:r>
            <w:r>
              <w:rPr>
                <w:rFonts w:ascii="宋体" w:hAnsi="宋体" w:cs="Times New Roman" w:hint="eastAsia"/>
                <w:lang/>
              </w:rPr>
              <w:t>大额申购、转换转入、定期定额投资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4FBB">
            <w:pPr>
              <w:pStyle w:val="Defaul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是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4FBB">
            <w:pPr>
              <w:pStyle w:val="Defaul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是</w:t>
            </w:r>
          </w:p>
        </w:tc>
      </w:tr>
    </w:tbl>
    <w:p w:rsidR="00000000" w:rsidRDefault="00284FBB">
      <w:pPr>
        <w:pStyle w:val="Default"/>
        <w:rPr>
          <w:rFonts w:ascii="宋体" w:eastAsia="宋体" w:hAnsi="宋体" w:cs="宋体"/>
          <w:color w:val="auto"/>
          <w:sz w:val="21"/>
          <w:szCs w:val="21"/>
        </w:rPr>
      </w:pPr>
    </w:p>
    <w:p w:rsidR="00000000" w:rsidRDefault="00284FBB">
      <w:pPr>
        <w:pStyle w:val="Default"/>
        <w:spacing w:line="360" w:lineRule="auto"/>
        <w:rPr>
          <w:rFonts w:ascii="宋体" w:eastAsia="宋体" w:hAnsi="宋体" w:cs="宋体"/>
          <w:b/>
          <w:color w:val="auto"/>
          <w:sz w:val="21"/>
          <w:szCs w:val="21"/>
        </w:rPr>
      </w:pPr>
      <w:r>
        <w:rPr>
          <w:rFonts w:ascii="宋体" w:eastAsia="宋体" w:hAnsi="宋体" w:cs="宋体"/>
          <w:b/>
          <w:color w:val="auto"/>
          <w:sz w:val="21"/>
          <w:szCs w:val="21"/>
        </w:rPr>
        <w:t>2</w:t>
      </w:r>
      <w:r>
        <w:rPr>
          <w:rFonts w:ascii="宋体" w:eastAsia="宋体" w:hAnsi="宋体" w:cs="宋体" w:hint="eastAsia"/>
          <w:b/>
          <w:color w:val="auto"/>
          <w:sz w:val="21"/>
          <w:szCs w:val="21"/>
        </w:rPr>
        <w:t>、其他需要提示的事项</w:t>
      </w:r>
      <w:r>
        <w:rPr>
          <w:rFonts w:ascii="宋体" w:eastAsia="宋体" w:hAnsi="宋体" w:cs="宋体"/>
          <w:b/>
          <w:color w:val="auto"/>
          <w:sz w:val="21"/>
          <w:szCs w:val="21"/>
        </w:rPr>
        <w:t xml:space="preserve"> </w:t>
      </w:r>
    </w:p>
    <w:p w:rsidR="00000000" w:rsidRDefault="00284FBB">
      <w:pPr>
        <w:spacing w:line="360" w:lineRule="auto"/>
        <w:ind w:firstLineChars="202" w:firstLine="424"/>
        <w:jc w:val="left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</w:t>
      </w:r>
      <w:r>
        <w:rPr>
          <w:rFonts w:ascii="宋体" w:hint="eastAsia"/>
        </w:rPr>
        <w:t>为满足广大投资者的需求，更好地运作基金资产，本基金管理人兴业基金管理有限公司决定自</w:t>
      </w:r>
      <w:r>
        <w:rPr>
          <w:rFonts w:ascii="宋体" w:hAnsi="宋体" w:cs="Times New Roman"/>
          <w:szCs w:val="22"/>
          <w:lang/>
        </w:rPr>
        <w:t>2025</w:t>
      </w:r>
      <w:r>
        <w:rPr>
          <w:rFonts w:ascii="宋体" w:hAnsi="宋体" w:cs="Times New Roman" w:hint="eastAsia"/>
          <w:szCs w:val="22"/>
          <w:lang/>
        </w:rPr>
        <w:t>年</w:t>
      </w:r>
      <w:r>
        <w:rPr>
          <w:rFonts w:ascii="宋体" w:hAnsi="宋体" w:cs="Times New Roman"/>
          <w:szCs w:val="22"/>
          <w:lang/>
        </w:rPr>
        <w:t>8</w:t>
      </w:r>
      <w:r>
        <w:rPr>
          <w:rFonts w:ascii="宋体" w:hAnsi="宋体" w:cs="Times New Roman" w:hint="eastAsia"/>
          <w:szCs w:val="22"/>
          <w:lang/>
        </w:rPr>
        <w:t>月</w:t>
      </w:r>
      <w:r>
        <w:rPr>
          <w:rFonts w:ascii="宋体" w:hAnsi="宋体" w:cs="Times New Roman"/>
          <w:szCs w:val="22"/>
          <w:lang/>
        </w:rPr>
        <w:t>15</w:t>
      </w:r>
      <w:r>
        <w:rPr>
          <w:rFonts w:ascii="宋体" w:hAnsi="宋体" w:cs="Times New Roman" w:hint="eastAsia"/>
          <w:szCs w:val="22"/>
          <w:lang/>
        </w:rPr>
        <w:t>日</w:t>
      </w:r>
      <w:r>
        <w:rPr>
          <w:rFonts w:ascii="宋体" w:hAnsi="宋体" w:hint="eastAsia"/>
          <w:color w:val="000000"/>
        </w:rPr>
        <w:t>起</w:t>
      </w:r>
      <w:r>
        <w:rPr>
          <w:rFonts w:ascii="宋体" w:hint="eastAsia"/>
        </w:rPr>
        <w:t>恢复兴业天融债券型证券投资基金的大额申购（含转换转入和定期定额投资）业务，此次调整针对所有销售机构，包括直销机构与代销机构</w:t>
      </w:r>
      <w:r>
        <w:rPr>
          <w:rFonts w:ascii="宋体" w:hAnsi="宋体" w:hint="eastAsia"/>
          <w:lang/>
        </w:rPr>
        <w:t>。</w:t>
      </w:r>
    </w:p>
    <w:p w:rsidR="00000000" w:rsidRDefault="00284FBB">
      <w:pPr>
        <w:pStyle w:val="Default"/>
        <w:spacing w:line="360" w:lineRule="auto"/>
        <w:ind w:leftChars="100" w:left="210" w:firstLineChars="100" w:firstLine="210"/>
        <w:rPr>
          <w:rFonts w:ascii="宋体" w:eastAsia="宋体" w:cs="宋体"/>
          <w:sz w:val="21"/>
          <w:szCs w:val="21"/>
        </w:rPr>
      </w:pPr>
      <w:r>
        <w:rPr>
          <w:rFonts w:ascii="宋体" w:eastAsia="宋体" w:cs="宋体" w:hint="eastAsia"/>
          <w:sz w:val="21"/>
          <w:szCs w:val="21"/>
        </w:rPr>
        <w:t>（</w:t>
      </w:r>
      <w:r>
        <w:rPr>
          <w:rFonts w:ascii="宋体" w:eastAsia="宋体" w:cs="宋体"/>
          <w:sz w:val="21"/>
          <w:szCs w:val="21"/>
        </w:rPr>
        <w:t>2</w:t>
      </w:r>
      <w:r>
        <w:rPr>
          <w:rFonts w:ascii="宋体" w:eastAsia="宋体" w:cs="宋体" w:hint="eastAsia"/>
          <w:sz w:val="21"/>
          <w:szCs w:val="21"/>
        </w:rPr>
        <w:t>）投资者可通过以下途径咨询有关详情：</w:t>
      </w:r>
      <w:r>
        <w:rPr>
          <w:rFonts w:ascii="宋体" w:eastAsia="宋体" w:cs="宋体"/>
          <w:sz w:val="21"/>
          <w:szCs w:val="21"/>
        </w:rPr>
        <w:t xml:space="preserve"> </w:t>
      </w:r>
    </w:p>
    <w:p w:rsidR="00000000" w:rsidRDefault="00284FBB">
      <w:pPr>
        <w:pStyle w:val="Default"/>
        <w:spacing w:line="360" w:lineRule="auto"/>
        <w:ind w:leftChars="100" w:left="210" w:firstLineChars="200" w:firstLine="420"/>
        <w:rPr>
          <w:rFonts w:ascii="宋体" w:eastAsia="宋体" w:hAnsi="宋体" w:cs="宋体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1</w:t>
      </w:r>
      <w:r>
        <w:rPr>
          <w:rFonts w:ascii="宋体" w:eastAsia="宋体" w:hAnsi="宋体" w:cs="宋体" w:hint="eastAsia"/>
          <w:color w:val="auto"/>
          <w:sz w:val="21"/>
          <w:szCs w:val="21"/>
        </w:rPr>
        <w:t>）兴业基金管理有限公司网站：</w:t>
      </w:r>
      <w:hyperlink r:id="rId6" w:history="1">
        <w:r>
          <w:rPr>
            <w:rFonts w:ascii="宋体" w:eastAsia="宋体" w:hAnsi="宋体" w:cs="宋体"/>
            <w:color w:val="auto"/>
            <w:sz w:val="21"/>
            <w:szCs w:val="21"/>
          </w:rPr>
          <w:t>www.cib-fund.com.cn</w:t>
        </w:r>
      </w:hyperlink>
      <w:r>
        <w:rPr>
          <w:rFonts w:ascii="宋体" w:eastAsia="宋体" w:hAnsi="宋体" w:cs="宋体"/>
          <w:color w:val="auto"/>
          <w:sz w:val="21"/>
          <w:szCs w:val="21"/>
        </w:rPr>
        <w:t xml:space="preserve"> </w:t>
      </w:r>
    </w:p>
    <w:p w:rsidR="00000000" w:rsidRDefault="00284FBB">
      <w:pPr>
        <w:pStyle w:val="Default"/>
        <w:spacing w:line="360" w:lineRule="auto"/>
        <w:ind w:leftChars="100" w:left="210" w:firstLineChars="200" w:firstLine="420"/>
        <w:rPr>
          <w:rFonts w:ascii="宋体" w:eastAsia="宋体" w:hAnsi="宋体" w:cs="宋体"/>
          <w:color w:val="auto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2</w:t>
      </w:r>
      <w:r>
        <w:rPr>
          <w:rFonts w:ascii="宋体" w:eastAsia="宋体" w:hAnsi="宋体" w:cs="宋体" w:hint="eastAsia"/>
          <w:color w:val="auto"/>
          <w:sz w:val="21"/>
          <w:szCs w:val="21"/>
        </w:rPr>
        <w:t>）兴业基金管理有限公司客户服务热线：</w:t>
      </w:r>
      <w:r>
        <w:rPr>
          <w:rFonts w:ascii="宋体" w:eastAsia="宋体" w:hAnsi="宋体" w:cs="宋体"/>
          <w:color w:val="auto"/>
          <w:sz w:val="21"/>
          <w:szCs w:val="21"/>
        </w:rPr>
        <w:t xml:space="preserve">40000-95561 </w:t>
      </w:r>
    </w:p>
    <w:p w:rsidR="00000000" w:rsidRDefault="00284FBB">
      <w:pPr>
        <w:spacing w:line="360" w:lineRule="auto"/>
        <w:ind w:firstLineChars="200" w:firstLine="420"/>
        <w:jc w:val="left"/>
        <w:rPr>
          <w:rFonts w:ascii="宋体" w:hAnsi="宋体"/>
        </w:rPr>
      </w:pPr>
    </w:p>
    <w:p w:rsidR="00000000" w:rsidRDefault="00284FBB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风险提示：本公司承诺以诚实信用、勤勉尽责的原则管理和运用基金资产，但不保证基金一定盈利，也不保证最低收益。基金的过往业绩及其净值高低并不预示其未来业绩表现。投资者投资基金前应认真阅读《基金合同》、《招募说明书》、《产品资料概要》等法律文件，了解</w:t>
      </w:r>
      <w:r>
        <w:rPr>
          <w:rFonts w:ascii="宋体" w:hAnsi="宋体" w:hint="eastAsia"/>
        </w:rPr>
        <w:t>所投资基金的风险收益特征，并根据自身情况购买与本人风险承受能力相匹配的产品。基金有风险，投资需谨慎，敬请投资者注意投资风险。</w:t>
      </w:r>
      <w:r>
        <w:rPr>
          <w:rFonts w:ascii="宋体" w:hAnsi="宋体"/>
        </w:rPr>
        <w:t xml:space="preserve"> </w:t>
      </w:r>
    </w:p>
    <w:p w:rsidR="00000000" w:rsidRDefault="00284FBB">
      <w:pPr>
        <w:pStyle w:val="Default"/>
        <w:spacing w:line="360" w:lineRule="auto"/>
        <w:ind w:leftChars="100" w:left="210" w:firstLineChars="200" w:firstLine="420"/>
        <w:rPr>
          <w:rFonts w:ascii="宋体" w:eastAsia="宋体" w:hAnsi="宋体" w:cs="宋体"/>
          <w:color w:val="auto"/>
          <w:sz w:val="21"/>
          <w:szCs w:val="21"/>
        </w:rPr>
      </w:pPr>
    </w:p>
    <w:p w:rsidR="00000000" w:rsidRDefault="00284FBB">
      <w:pPr>
        <w:pStyle w:val="Default"/>
        <w:spacing w:line="360" w:lineRule="auto"/>
        <w:ind w:leftChars="100" w:left="210" w:firstLineChars="200" w:firstLine="420"/>
        <w:rPr>
          <w:color w:val="auto"/>
          <w:sz w:val="21"/>
          <w:szCs w:val="21"/>
        </w:rPr>
      </w:pPr>
      <w:r>
        <w:rPr>
          <w:rFonts w:ascii="宋体" w:eastAsia="宋体" w:hAnsi="宋体" w:cs="宋体" w:hint="eastAsia"/>
          <w:color w:val="auto"/>
          <w:sz w:val="21"/>
          <w:szCs w:val="21"/>
        </w:rPr>
        <w:t>特此公告。</w:t>
      </w:r>
      <w:r>
        <w:rPr>
          <w:color w:val="auto"/>
          <w:sz w:val="21"/>
          <w:szCs w:val="21"/>
        </w:rPr>
        <w:t xml:space="preserve"> </w:t>
      </w:r>
    </w:p>
    <w:p w:rsidR="00000000" w:rsidRDefault="00284FBB">
      <w:pPr>
        <w:spacing w:line="360" w:lineRule="auto"/>
        <w:ind w:firstLineChars="200" w:firstLine="400"/>
        <w:jc w:val="right"/>
      </w:pPr>
      <w:r>
        <w:rPr>
          <w:sz w:val="20"/>
          <w:szCs w:val="20"/>
        </w:rPr>
        <w:t xml:space="preserve"> </w:t>
      </w:r>
      <w:r>
        <w:rPr>
          <w:rFonts w:cs="Calibri"/>
        </w:rPr>
        <w:t xml:space="preserve"> </w:t>
      </w:r>
      <w:r>
        <w:rPr>
          <w:rFonts w:hint="eastAsia"/>
        </w:rPr>
        <w:t>兴业基金管理有限公司</w:t>
      </w:r>
      <w:r>
        <w:t xml:space="preserve"> </w:t>
      </w:r>
    </w:p>
    <w:p w:rsidR="00000000" w:rsidRDefault="00284FBB">
      <w:pPr>
        <w:spacing w:line="360" w:lineRule="auto"/>
        <w:ind w:firstLineChars="200" w:firstLine="420"/>
        <w:jc w:val="right"/>
      </w:pPr>
      <w:r>
        <w:rPr>
          <w:rFonts w:cs="Times New Roman"/>
          <w:szCs w:val="22"/>
          <w:lang/>
        </w:rPr>
        <w:t>2025</w:t>
      </w:r>
      <w:r>
        <w:rPr>
          <w:rFonts w:cs="Times New Roman" w:hint="eastAsia"/>
          <w:szCs w:val="22"/>
          <w:lang/>
        </w:rPr>
        <w:t>年</w:t>
      </w:r>
      <w:r>
        <w:rPr>
          <w:rFonts w:cs="Times New Roman"/>
          <w:szCs w:val="22"/>
          <w:lang/>
        </w:rPr>
        <w:t>8</w:t>
      </w:r>
      <w:r>
        <w:rPr>
          <w:rFonts w:cs="Times New Roman" w:hint="eastAsia"/>
          <w:szCs w:val="22"/>
          <w:lang/>
        </w:rPr>
        <w:t>月</w:t>
      </w:r>
      <w:r>
        <w:rPr>
          <w:rFonts w:cs="Times New Roman"/>
          <w:szCs w:val="22"/>
          <w:lang/>
        </w:rPr>
        <w:t>14</w:t>
      </w:r>
      <w:r>
        <w:rPr>
          <w:rFonts w:cs="Times New Roman" w:hint="eastAsia"/>
          <w:szCs w:val="22"/>
          <w:lang/>
        </w:rPr>
        <w:t>日</w:t>
      </w:r>
    </w:p>
    <w:sectPr w:rsidR="00000000">
      <w:pgSz w:w="11906" w:h="17338"/>
      <w:pgMar w:top="1276" w:right="1681" w:bottom="1440" w:left="168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284FB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separator/>
      </w:r>
    </w:p>
  </w:endnote>
  <w:endnote w:type="continuationSeparator" w:id="0">
    <w:p w:rsidR="00000000" w:rsidRDefault="00284FB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284FB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separator/>
      </w:r>
    </w:p>
  </w:footnote>
  <w:footnote w:type="continuationSeparator" w:id="0">
    <w:p w:rsidR="00000000" w:rsidRDefault="00284FB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2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alignTablesRowByRow/>
    <w:forgetLastTabAlignment/>
    <w:adjustLineHeightInTable/>
    <w:layoutRawTableWidth/>
    <w:doNotSnapToGridInCell/>
    <w:selectFldWithFirstOrLastChar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WJjZTdiYWQyMzc2ODhkODMzMTRiN2VlNTNiMmE3NjMifQ=="/>
  </w:docVars>
  <w:rsids>
    <w:rsidRoot w:val="00284FBB"/>
    <w:rsid w:val="00000000"/>
    <w:rsid w:val="0028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semiHidden="1" w:uiPriority="35" w:unhideWhenUsed="1"/>
    <w:lsdException w:name="Title" w:uiPriority="10"/>
    <w:lsdException w:name="Default Paragraph Font" w:uiPriority="1" w:unhideWhenUsed="1" w:qFormat="0"/>
    <w:lsdException w:name="Subtitle" w:uiPriority="11"/>
    <w:lsdException w:name="Strong" w:uiPriority="22"/>
    <w:lsdException w:name="Emphasis" w:uiPriority="20"/>
    <w:lsdException w:name="HTML Top of Form" w:semiHidden="1" w:unhideWhenUsed="1" w:qFormat="0"/>
    <w:lsdException w:name="HTML Bottom of Form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Grid" w:uiPriority="59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basedOn w:val="a0"/>
    <w:link w:val="a3"/>
    <w:uiPriority w:val="99"/>
    <w:unhideWhenUsed/>
    <w:locked/>
    <w:rPr>
      <w:rFonts w:ascii="Calibri" w:cs="Calibri"/>
      <w:sz w:val="18"/>
      <w:szCs w:val="18"/>
    </w:rPr>
  </w:style>
  <w:style w:type="character" w:customStyle="1" w:styleId="Char10">
    <w:name w:val="页眉 Char1"/>
    <w:basedOn w:val="a0"/>
    <w:link w:val="a4"/>
    <w:uiPriority w:val="99"/>
    <w:unhideWhenUsed/>
    <w:locked/>
    <w:rPr>
      <w:rFonts w:ascii="Calibri" w:cs="Calibri"/>
      <w:sz w:val="18"/>
      <w:szCs w:val="18"/>
    </w:rPr>
  </w:style>
  <w:style w:type="paragraph" w:styleId="a3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Calibri" w:hAnsi="Calibri" w:cs="宋体"/>
      <w:sz w:val="18"/>
      <w:szCs w:val="18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b-fund.com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4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zhuangrr</dc:creator>
  <cp:keywords/>
  <dc:description/>
  <cp:lastModifiedBy>ZHONGM</cp:lastModifiedBy>
  <cp:revision>2</cp:revision>
  <dcterms:created xsi:type="dcterms:W3CDTF">2025-08-13T16:01:00Z</dcterms:created>
  <dcterms:modified xsi:type="dcterms:W3CDTF">2025-08-13T16:01:00Z</dcterms:modified>
</cp:coreProperties>
</file>