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E57" w:rsidRDefault="00840E24">
      <w:pPr>
        <w:spacing w:line="360" w:lineRule="auto"/>
        <w:jc w:val="center"/>
        <w:rPr>
          <w:rFonts w:ascii="Times New Roman" w:hAnsi="Times New Roman"/>
          <w:b/>
          <w:sz w:val="40"/>
          <w:szCs w:val="40"/>
        </w:rPr>
      </w:pPr>
      <w:r>
        <w:rPr>
          <w:rFonts w:ascii="Times New Roman" w:hAnsi="Times New Roman" w:hint="eastAsia"/>
          <w:b/>
          <w:sz w:val="40"/>
          <w:szCs w:val="40"/>
        </w:rPr>
        <w:t>民生加银基金管理有限公司</w:t>
      </w:r>
    </w:p>
    <w:p w:rsidR="00D66E57" w:rsidRDefault="00840E24">
      <w:pPr>
        <w:spacing w:line="360" w:lineRule="auto"/>
        <w:jc w:val="center"/>
        <w:rPr>
          <w:rFonts w:ascii="Times New Roman" w:hAnsi="Times New Roman"/>
          <w:b/>
          <w:sz w:val="40"/>
          <w:szCs w:val="40"/>
        </w:rPr>
      </w:pPr>
      <w:r>
        <w:rPr>
          <w:rFonts w:ascii="Times New Roman" w:hAnsi="Times New Roman" w:hint="eastAsia"/>
          <w:b/>
          <w:sz w:val="40"/>
          <w:szCs w:val="40"/>
        </w:rPr>
        <w:t>关于终止北京微动利基金销售有限公司</w:t>
      </w:r>
    </w:p>
    <w:p w:rsidR="00D66E57" w:rsidRDefault="00840E24">
      <w:pPr>
        <w:spacing w:line="360" w:lineRule="auto"/>
        <w:jc w:val="center"/>
        <w:rPr>
          <w:rFonts w:ascii="Times New Roman" w:hAnsi="Times New Roman"/>
          <w:b/>
          <w:sz w:val="40"/>
          <w:szCs w:val="40"/>
        </w:rPr>
      </w:pPr>
      <w:r>
        <w:rPr>
          <w:rFonts w:ascii="Times New Roman" w:hAnsi="Times New Roman" w:hint="eastAsia"/>
          <w:b/>
          <w:sz w:val="40"/>
          <w:szCs w:val="40"/>
        </w:rPr>
        <w:t>办理旗下基金相关销售业务的公告</w:t>
      </w:r>
    </w:p>
    <w:p w:rsidR="00D66E57" w:rsidRDefault="00D66E57">
      <w:pPr>
        <w:spacing w:line="360" w:lineRule="auto"/>
        <w:ind w:firstLineChars="200" w:firstLine="560"/>
        <w:rPr>
          <w:rFonts w:ascii="Times New Roman" w:hAnsi="Times New Roman"/>
          <w:sz w:val="28"/>
          <w:szCs w:val="28"/>
        </w:rPr>
      </w:pPr>
    </w:p>
    <w:p w:rsidR="00D66E57" w:rsidRDefault="00840E24">
      <w:pPr>
        <w:spacing w:line="36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民生加银基金管理有限公司（以下简称“本公司”）已于</w:t>
      </w:r>
      <w:r>
        <w:rPr>
          <w:rFonts w:ascii="Times New Roman" w:hAnsi="Times New Roman" w:cs="Times New Roman"/>
          <w:sz w:val="28"/>
          <w:szCs w:val="28"/>
        </w:rPr>
        <w:t>2022</w:t>
      </w:r>
      <w:r>
        <w:rPr>
          <w:rFonts w:ascii="Times New Roman" w:hAnsi="Times New Roman" w:cs="Times New Roman" w:hint="eastAsia"/>
          <w:sz w:val="28"/>
          <w:szCs w:val="28"/>
        </w:rPr>
        <w:t>年</w:t>
      </w:r>
      <w:r>
        <w:rPr>
          <w:rFonts w:ascii="Times New Roman" w:hAnsi="Times New Roman" w:cs="Times New Roman"/>
          <w:sz w:val="28"/>
          <w:szCs w:val="28"/>
        </w:rPr>
        <w:t>7</w:t>
      </w:r>
      <w:r>
        <w:rPr>
          <w:rFonts w:ascii="Times New Roman" w:hAnsi="Times New Roman" w:cs="Times New Roman" w:hint="eastAsia"/>
          <w:sz w:val="28"/>
          <w:szCs w:val="28"/>
        </w:rPr>
        <w:t>月</w:t>
      </w:r>
      <w:r>
        <w:rPr>
          <w:rFonts w:ascii="Times New Roman" w:hAnsi="Times New Roman" w:cs="Times New Roman"/>
          <w:sz w:val="28"/>
          <w:szCs w:val="28"/>
        </w:rPr>
        <w:t>19</w:t>
      </w:r>
      <w:r>
        <w:rPr>
          <w:rFonts w:ascii="Times New Roman" w:hAnsi="Times New Roman" w:cs="Times New Roman" w:hint="eastAsia"/>
          <w:sz w:val="28"/>
          <w:szCs w:val="28"/>
        </w:rPr>
        <w:t>日发布《民生加银基金管理有限公司关于暂停喜鹊财富基金销售有限公司、北京微动利基金销售有限公司办理旗下基金相关销售业务的公告》，自</w:t>
      </w:r>
      <w:r>
        <w:rPr>
          <w:rFonts w:ascii="Times New Roman" w:hAnsi="Times New Roman" w:cs="Times New Roman"/>
          <w:sz w:val="28"/>
          <w:szCs w:val="28"/>
        </w:rPr>
        <w:t>2022</w:t>
      </w:r>
      <w:r>
        <w:rPr>
          <w:rFonts w:ascii="Times New Roman" w:hAnsi="Times New Roman" w:cs="Times New Roman" w:hint="eastAsia"/>
          <w:sz w:val="28"/>
          <w:szCs w:val="28"/>
        </w:rPr>
        <w:t>年</w:t>
      </w:r>
      <w:r>
        <w:rPr>
          <w:rFonts w:ascii="Times New Roman" w:hAnsi="Times New Roman" w:cs="Times New Roman"/>
          <w:sz w:val="28"/>
          <w:szCs w:val="28"/>
        </w:rPr>
        <w:t>7</w:t>
      </w:r>
      <w:r>
        <w:rPr>
          <w:rFonts w:ascii="Times New Roman" w:hAnsi="Times New Roman" w:cs="Times New Roman" w:hint="eastAsia"/>
          <w:sz w:val="28"/>
          <w:szCs w:val="28"/>
        </w:rPr>
        <w:t>月</w:t>
      </w:r>
      <w:r>
        <w:rPr>
          <w:rFonts w:ascii="Times New Roman" w:hAnsi="Times New Roman" w:cs="Times New Roman"/>
          <w:sz w:val="28"/>
          <w:szCs w:val="28"/>
        </w:rPr>
        <w:t>19</w:t>
      </w:r>
      <w:r>
        <w:rPr>
          <w:rFonts w:ascii="Times New Roman" w:hAnsi="Times New Roman" w:cs="Times New Roman" w:hint="eastAsia"/>
          <w:sz w:val="28"/>
          <w:szCs w:val="28"/>
        </w:rPr>
        <w:t>日起，暂停北京微动利基金销售有限公司（以下简称“微动利基金”）办理本公司旗下基金的认购、申购、定期定额投资及转换等业务。</w:t>
      </w:r>
    </w:p>
    <w:p w:rsidR="00D66E57" w:rsidRDefault="00840E24">
      <w:pPr>
        <w:spacing w:line="36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经与微动利基金协商一致，本公司现决定自</w:t>
      </w:r>
      <w:r>
        <w:rPr>
          <w:rFonts w:ascii="Times New Roman" w:hAnsi="Times New Roman" w:cs="Times New Roman"/>
          <w:sz w:val="28"/>
          <w:szCs w:val="28"/>
        </w:rPr>
        <w:t>2025</w:t>
      </w:r>
      <w:r>
        <w:rPr>
          <w:rFonts w:ascii="Times New Roman" w:hAnsi="Times New Roman" w:cs="Times New Roman" w:hint="eastAsia"/>
          <w:sz w:val="28"/>
          <w:szCs w:val="28"/>
        </w:rPr>
        <w:t>年</w:t>
      </w:r>
      <w:r>
        <w:rPr>
          <w:rFonts w:ascii="Times New Roman" w:hAnsi="Times New Roman" w:cs="Times New Roman"/>
          <w:sz w:val="28"/>
          <w:szCs w:val="28"/>
        </w:rPr>
        <w:t>8</w:t>
      </w:r>
      <w:r>
        <w:rPr>
          <w:rFonts w:ascii="Times New Roman" w:hAnsi="Times New Roman" w:cs="Times New Roman" w:hint="eastAsia"/>
          <w:sz w:val="28"/>
          <w:szCs w:val="28"/>
        </w:rPr>
        <w:t>月</w:t>
      </w:r>
      <w:r w:rsidR="00B8087A">
        <w:rPr>
          <w:rFonts w:ascii="Times New Roman" w:hAnsi="Times New Roman" w:cs="Times New Roman"/>
          <w:sz w:val="28"/>
          <w:szCs w:val="28"/>
        </w:rPr>
        <w:t>15</w:t>
      </w:r>
      <w:r>
        <w:rPr>
          <w:rFonts w:ascii="Times New Roman" w:hAnsi="Times New Roman" w:cs="Times New Roman" w:hint="eastAsia"/>
          <w:sz w:val="28"/>
          <w:szCs w:val="28"/>
        </w:rPr>
        <w:t>日起终止微动利基金办理本公司旗下基金销售相关业务。</w:t>
      </w:r>
    </w:p>
    <w:p w:rsidR="00D66E57" w:rsidRPr="00E708CE" w:rsidRDefault="00840E24">
      <w:pPr>
        <w:spacing w:line="360" w:lineRule="auto"/>
        <w:ind w:firstLineChars="200" w:firstLine="560"/>
        <w:rPr>
          <w:rFonts w:ascii="Times New Roman" w:hAnsi="Times New Roman" w:cs="Times New Roman"/>
          <w:color w:val="333333"/>
          <w:sz w:val="28"/>
          <w:szCs w:val="28"/>
        </w:rPr>
      </w:pPr>
      <w:r>
        <w:rPr>
          <w:rFonts w:ascii="Times New Roman" w:hAnsi="Times New Roman" w:cs="Times New Roman" w:hint="eastAsia"/>
          <w:sz w:val="28"/>
          <w:szCs w:val="28"/>
        </w:rPr>
        <w:t>为维护投资者权益，已通过微动利基金购买并持有本公司旗下基金的投资者，请于</w:t>
      </w:r>
      <w:r>
        <w:rPr>
          <w:rFonts w:ascii="Times New Roman" w:hAnsi="Times New Roman" w:cs="Times New Roman"/>
          <w:sz w:val="28"/>
          <w:szCs w:val="28"/>
        </w:rPr>
        <w:t>2025</w:t>
      </w:r>
      <w:r>
        <w:rPr>
          <w:rFonts w:ascii="Times New Roman" w:hAnsi="Times New Roman" w:cs="Times New Roman" w:hint="eastAsia"/>
          <w:sz w:val="28"/>
          <w:szCs w:val="28"/>
        </w:rPr>
        <w:t>年</w:t>
      </w:r>
      <w:r>
        <w:rPr>
          <w:rFonts w:ascii="Times New Roman" w:hAnsi="Times New Roman" w:cs="Times New Roman"/>
          <w:sz w:val="28"/>
          <w:szCs w:val="28"/>
        </w:rPr>
        <w:t>8</w:t>
      </w:r>
      <w:r>
        <w:rPr>
          <w:rFonts w:ascii="Times New Roman" w:hAnsi="Times New Roman" w:cs="Times New Roman" w:hint="eastAsia"/>
          <w:sz w:val="28"/>
          <w:szCs w:val="28"/>
        </w:rPr>
        <w:t>月</w:t>
      </w:r>
      <w:r>
        <w:rPr>
          <w:rFonts w:ascii="Times New Roman" w:hAnsi="Times New Roman" w:cs="Times New Roman"/>
          <w:sz w:val="28"/>
          <w:szCs w:val="28"/>
        </w:rPr>
        <w:t>15</w:t>
      </w:r>
      <w:r>
        <w:rPr>
          <w:rFonts w:ascii="Times New Roman" w:hAnsi="Times New Roman" w:cs="Times New Roman" w:hint="eastAsia"/>
          <w:sz w:val="28"/>
          <w:szCs w:val="28"/>
        </w:rPr>
        <w:t>日</w:t>
      </w:r>
      <w:r>
        <w:rPr>
          <w:rFonts w:ascii="Times New Roman" w:hAnsi="Times New Roman" w:cs="Times New Roman" w:hint="eastAsia"/>
          <w:sz w:val="28"/>
          <w:szCs w:val="28"/>
        </w:rPr>
        <w:t>1</w:t>
      </w:r>
      <w:r>
        <w:rPr>
          <w:rFonts w:ascii="Times New Roman" w:hAnsi="Times New Roman" w:cs="Times New Roman"/>
          <w:sz w:val="28"/>
          <w:szCs w:val="28"/>
        </w:rPr>
        <w:t>5</w:t>
      </w:r>
      <w:r>
        <w:rPr>
          <w:rFonts w:ascii="Times New Roman" w:hAnsi="Times New Roman" w:cs="Times New Roman" w:hint="eastAsia"/>
          <w:sz w:val="28"/>
          <w:szCs w:val="28"/>
        </w:rPr>
        <w:t>:00</w:t>
      </w:r>
      <w:r>
        <w:rPr>
          <w:rFonts w:ascii="Times New Roman" w:hAnsi="Times New Roman" w:cs="Times New Roman" w:hint="eastAsia"/>
          <w:sz w:val="28"/>
          <w:szCs w:val="28"/>
        </w:rPr>
        <w:t>前通过微动利基金办理基金份额赎回或转托管业务</w:t>
      </w:r>
      <w:r w:rsidRPr="00E708CE">
        <w:rPr>
          <w:rFonts w:ascii="Times New Roman" w:hAnsi="Times New Roman" w:cs="Times New Roman" w:hint="eastAsia"/>
          <w:color w:val="333333"/>
          <w:sz w:val="28"/>
          <w:szCs w:val="28"/>
        </w:rPr>
        <w:t>。</w:t>
      </w:r>
      <w:r w:rsidRPr="00E708CE">
        <w:rPr>
          <w:rFonts w:ascii="Times New Roman" w:hAnsi="Times New Roman" w:cs="Times New Roman" w:hint="eastAsia"/>
          <w:sz w:val="28"/>
          <w:szCs w:val="28"/>
        </w:rPr>
        <w:t>如投资者未于</w:t>
      </w:r>
      <w:r>
        <w:rPr>
          <w:rFonts w:ascii="Times New Roman" w:hAnsi="Times New Roman" w:cs="Times New Roman"/>
          <w:sz w:val="28"/>
          <w:szCs w:val="28"/>
        </w:rPr>
        <w:t>2025</w:t>
      </w:r>
      <w:r>
        <w:rPr>
          <w:rFonts w:ascii="Times New Roman" w:hAnsi="Times New Roman" w:cs="Times New Roman" w:hint="eastAsia"/>
          <w:sz w:val="28"/>
          <w:szCs w:val="28"/>
        </w:rPr>
        <w:t>年</w:t>
      </w:r>
      <w:r>
        <w:rPr>
          <w:rFonts w:ascii="Times New Roman" w:hAnsi="Times New Roman" w:cs="Times New Roman"/>
          <w:sz w:val="28"/>
          <w:szCs w:val="28"/>
        </w:rPr>
        <w:t>8</w:t>
      </w:r>
      <w:r>
        <w:rPr>
          <w:rFonts w:ascii="Times New Roman" w:hAnsi="Times New Roman" w:cs="Times New Roman" w:hint="eastAsia"/>
          <w:sz w:val="28"/>
          <w:szCs w:val="28"/>
        </w:rPr>
        <w:t>月</w:t>
      </w:r>
      <w:r>
        <w:rPr>
          <w:rFonts w:ascii="Times New Roman" w:hAnsi="Times New Roman" w:cs="Times New Roman"/>
          <w:sz w:val="28"/>
          <w:szCs w:val="28"/>
        </w:rPr>
        <w:t>15</w:t>
      </w:r>
      <w:r>
        <w:rPr>
          <w:rFonts w:ascii="Times New Roman" w:hAnsi="Times New Roman" w:cs="Times New Roman" w:hint="eastAsia"/>
          <w:sz w:val="28"/>
          <w:szCs w:val="28"/>
        </w:rPr>
        <w:t>日</w:t>
      </w:r>
      <w:r>
        <w:rPr>
          <w:rFonts w:ascii="Times New Roman" w:hAnsi="Times New Roman" w:cs="Times New Roman" w:hint="eastAsia"/>
          <w:sz w:val="28"/>
          <w:szCs w:val="28"/>
        </w:rPr>
        <w:t>1</w:t>
      </w:r>
      <w:r>
        <w:rPr>
          <w:rFonts w:ascii="Times New Roman" w:hAnsi="Times New Roman" w:cs="Times New Roman"/>
          <w:sz w:val="28"/>
          <w:szCs w:val="28"/>
        </w:rPr>
        <w:t>5</w:t>
      </w:r>
      <w:r>
        <w:rPr>
          <w:rFonts w:ascii="Times New Roman" w:hAnsi="Times New Roman" w:cs="Times New Roman" w:hint="eastAsia"/>
          <w:sz w:val="28"/>
          <w:szCs w:val="28"/>
        </w:rPr>
        <w:t>:00</w:t>
      </w:r>
      <w:r>
        <w:rPr>
          <w:rFonts w:ascii="Times New Roman" w:hAnsi="Times New Roman" w:cs="Times New Roman" w:hint="eastAsia"/>
          <w:sz w:val="28"/>
          <w:szCs w:val="28"/>
        </w:rPr>
        <w:t>前办理上述业务</w:t>
      </w:r>
      <w:r w:rsidRPr="00E708CE">
        <w:rPr>
          <w:rFonts w:ascii="Times New Roman" w:hAnsi="Times New Roman" w:cs="Times New Roman" w:hint="eastAsia"/>
          <w:sz w:val="28"/>
          <w:szCs w:val="28"/>
        </w:rPr>
        <w:t>，本公司将为投资者将存量份额转托管至本公司</w:t>
      </w:r>
      <w:r>
        <w:rPr>
          <w:rFonts w:ascii="Times New Roman" w:hAnsi="Times New Roman" w:cs="Times New Roman" w:hint="eastAsia"/>
          <w:sz w:val="28"/>
          <w:szCs w:val="28"/>
        </w:rPr>
        <w:t>网上</w:t>
      </w:r>
      <w:bookmarkStart w:id="0" w:name="_GoBack"/>
      <w:bookmarkEnd w:id="0"/>
      <w:r w:rsidRPr="00E708CE">
        <w:rPr>
          <w:rFonts w:ascii="Times New Roman" w:hAnsi="Times New Roman" w:cs="Times New Roman" w:hint="eastAsia"/>
          <w:sz w:val="28"/>
          <w:szCs w:val="28"/>
        </w:rPr>
        <w:t>直销平台，后续投资者可以通过本公司办理基金份额查询等相关业务。</w:t>
      </w:r>
    </w:p>
    <w:p w:rsidR="00D66E57" w:rsidRPr="00E708CE" w:rsidRDefault="00D66E57">
      <w:pPr>
        <w:spacing w:line="360" w:lineRule="auto"/>
        <w:ind w:firstLineChars="200" w:firstLine="560"/>
        <w:rPr>
          <w:rFonts w:ascii="Times New Roman" w:hAnsi="Times New Roman" w:cs="Times New Roman"/>
          <w:color w:val="333333"/>
          <w:sz w:val="28"/>
          <w:szCs w:val="28"/>
        </w:rPr>
      </w:pPr>
    </w:p>
    <w:p w:rsidR="00D66E57" w:rsidRDefault="00840E24">
      <w:pPr>
        <w:spacing w:line="36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投资者</w:t>
      </w:r>
      <w:r>
        <w:rPr>
          <w:rFonts w:ascii="Times New Roman" w:hAnsi="Times New Roman" w:cs="Times New Roman"/>
          <w:sz w:val="28"/>
          <w:szCs w:val="28"/>
        </w:rPr>
        <w:t>可</w:t>
      </w:r>
      <w:r>
        <w:rPr>
          <w:rFonts w:ascii="Times New Roman" w:hAnsi="Times New Roman" w:cs="Times New Roman" w:hint="eastAsia"/>
          <w:sz w:val="28"/>
          <w:szCs w:val="28"/>
        </w:rPr>
        <w:t>通过以下途径了解或咨询详情：</w:t>
      </w:r>
    </w:p>
    <w:p w:rsidR="00D66E57" w:rsidRDefault="00840E24">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hint="eastAsia"/>
          <w:sz w:val="28"/>
          <w:szCs w:val="28"/>
        </w:rPr>
        <w:t>）民生加银基金管理有限公司网站：</w:t>
      </w:r>
      <w:r>
        <w:rPr>
          <w:rFonts w:ascii="Times New Roman" w:hAnsi="Times New Roman" w:cs="Times New Roman" w:hint="eastAsia"/>
          <w:sz w:val="28"/>
          <w:szCs w:val="28"/>
        </w:rPr>
        <w:t>www.msjyfund.com.cn</w:t>
      </w:r>
    </w:p>
    <w:p w:rsidR="00D66E57" w:rsidRDefault="00840E24">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hint="eastAsia"/>
          <w:sz w:val="28"/>
          <w:szCs w:val="28"/>
        </w:rPr>
        <w:t>）民生加银基金管理有限公司客户服务热线：</w:t>
      </w:r>
      <w:r>
        <w:rPr>
          <w:rFonts w:ascii="Times New Roman" w:hAnsi="Times New Roman" w:cs="Times New Roman" w:hint="eastAsia"/>
          <w:sz w:val="28"/>
          <w:szCs w:val="28"/>
        </w:rPr>
        <w:t>400-8888-388</w:t>
      </w:r>
    </w:p>
    <w:p w:rsidR="00D66E57" w:rsidRDefault="00840E24">
      <w:pPr>
        <w:spacing w:line="360" w:lineRule="auto"/>
        <w:ind w:firstLineChars="201" w:firstLine="565"/>
        <w:rPr>
          <w:rFonts w:ascii="Times New Roman" w:hAnsi="Times New Roman" w:cs="Times New Roman"/>
          <w:sz w:val="28"/>
          <w:szCs w:val="28"/>
        </w:rPr>
      </w:pPr>
      <w:r>
        <w:rPr>
          <w:rFonts w:ascii="Times New Roman" w:hAnsi="Times New Roman" w:cs="Times New Roman" w:hint="eastAsia"/>
          <w:b/>
          <w:sz w:val="28"/>
          <w:szCs w:val="28"/>
        </w:rPr>
        <w:t>风险提示：基金管理人承诺以诚实信用、勤勉尽责的原则管理和</w:t>
      </w:r>
      <w:r>
        <w:rPr>
          <w:rFonts w:ascii="Times New Roman" w:hAnsi="Times New Roman" w:cs="Times New Roman" w:hint="eastAsia"/>
          <w:b/>
          <w:sz w:val="28"/>
          <w:szCs w:val="28"/>
        </w:rPr>
        <w:lastRenderedPageBreak/>
        <w:t>运用基金资产，但不保证基金一定盈利，也不保证最低收益。投资者投资于基金前应认真阅读基金的基金合同和招募说明书等法律文件，了解所投资基金的风险收益特征，并根据自身情况投资与本人风险承受能力相匹配的产品。敬请投资者注意投资风险。</w:t>
      </w:r>
    </w:p>
    <w:p w:rsidR="00D66E57" w:rsidRDefault="00840E24">
      <w:pPr>
        <w:spacing w:line="360" w:lineRule="auto"/>
        <w:ind w:firstLineChars="202" w:firstLine="566"/>
        <w:rPr>
          <w:rFonts w:ascii="Times New Roman" w:hAnsi="Times New Roman" w:cs="Times New Roman"/>
          <w:sz w:val="28"/>
          <w:szCs w:val="28"/>
        </w:rPr>
      </w:pPr>
      <w:r>
        <w:rPr>
          <w:rFonts w:ascii="Times New Roman" w:hAnsi="Times New Roman" w:cs="Times New Roman" w:hint="eastAsia"/>
          <w:sz w:val="28"/>
          <w:szCs w:val="28"/>
        </w:rPr>
        <w:t>特此公告。</w:t>
      </w:r>
    </w:p>
    <w:p w:rsidR="00D66E57" w:rsidRDefault="00840E24">
      <w:pPr>
        <w:spacing w:line="360" w:lineRule="auto"/>
        <w:jc w:val="right"/>
        <w:rPr>
          <w:rFonts w:ascii="Times New Roman" w:hAnsi="Times New Roman" w:cs="Times New Roman"/>
          <w:sz w:val="28"/>
          <w:szCs w:val="28"/>
        </w:rPr>
      </w:pPr>
      <w:r>
        <w:rPr>
          <w:rFonts w:ascii="Times New Roman" w:hAnsi="Times New Roman" w:cs="Times New Roman" w:hint="eastAsia"/>
          <w:sz w:val="28"/>
          <w:szCs w:val="28"/>
        </w:rPr>
        <w:t>民生加银基金管理有限公司</w:t>
      </w:r>
    </w:p>
    <w:p w:rsidR="00D66E57" w:rsidRDefault="00840E24">
      <w:pPr>
        <w:spacing w:line="360" w:lineRule="auto"/>
        <w:jc w:val="right"/>
        <w:rPr>
          <w:rFonts w:ascii="Times New Roman" w:hAnsi="Times New Roman" w:cs="Times New Roman"/>
          <w:sz w:val="28"/>
          <w:szCs w:val="28"/>
        </w:rPr>
      </w:pPr>
      <w:r>
        <w:rPr>
          <w:rFonts w:ascii="Times New Roman" w:hAnsi="Times New Roman" w:cs="Times New Roman"/>
          <w:sz w:val="28"/>
          <w:szCs w:val="28"/>
        </w:rPr>
        <w:t>2025</w:t>
      </w:r>
      <w:r>
        <w:rPr>
          <w:rFonts w:ascii="Times New Roman" w:hAnsi="Times New Roman" w:cs="Times New Roman" w:hint="eastAsia"/>
          <w:sz w:val="28"/>
          <w:szCs w:val="28"/>
        </w:rPr>
        <w:t>年</w:t>
      </w:r>
      <w:r>
        <w:rPr>
          <w:rFonts w:ascii="Times New Roman" w:hAnsi="Times New Roman" w:cs="Times New Roman"/>
          <w:sz w:val="28"/>
          <w:szCs w:val="28"/>
        </w:rPr>
        <w:t>8</w:t>
      </w:r>
      <w:r>
        <w:rPr>
          <w:rFonts w:ascii="Times New Roman" w:hAnsi="Times New Roman" w:cs="Times New Roman" w:hint="eastAsia"/>
          <w:sz w:val="28"/>
          <w:szCs w:val="28"/>
        </w:rPr>
        <w:t>月</w:t>
      </w:r>
      <w:r w:rsidR="00217F74">
        <w:rPr>
          <w:rFonts w:ascii="Times New Roman" w:hAnsi="Times New Roman" w:cs="Times New Roman"/>
          <w:sz w:val="28"/>
          <w:szCs w:val="28"/>
        </w:rPr>
        <w:t>12</w:t>
      </w:r>
      <w:r>
        <w:rPr>
          <w:rFonts w:ascii="Times New Roman" w:hAnsi="Times New Roman" w:cs="Times New Roman" w:hint="eastAsia"/>
          <w:sz w:val="28"/>
          <w:szCs w:val="28"/>
        </w:rPr>
        <w:t>日</w:t>
      </w:r>
    </w:p>
    <w:sectPr w:rsidR="00D66E57" w:rsidSect="0044792C">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649" w:rsidRDefault="00173649">
      <w:r>
        <w:separator/>
      </w:r>
    </w:p>
  </w:endnote>
  <w:endnote w:type="continuationSeparator" w:id="0">
    <w:p w:rsidR="00173649" w:rsidRDefault="001736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E57" w:rsidRDefault="00D66E57">
    <w:pPr>
      <w:pStyle w:val="a5"/>
    </w:pPr>
  </w:p>
  <w:p w:rsidR="00D66E57" w:rsidRDefault="00D66E5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649" w:rsidRDefault="00173649">
      <w:r>
        <w:separator/>
      </w:r>
    </w:p>
  </w:footnote>
  <w:footnote w:type="continuationSeparator" w:id="0">
    <w:p w:rsidR="00173649" w:rsidRDefault="001736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4097"/>
  </w:hdrShapeDefaults>
  <w:footnotePr>
    <w:footnote w:id="-1"/>
    <w:footnote w:id="0"/>
  </w:footnotePr>
  <w:endnotePr>
    <w:endnote w:id="-1"/>
    <w:endnote w:id="0"/>
  </w:endnotePr>
  <w:compat>
    <w:spaceForUL/>
    <w:balanceSingleByteDoubleByteWidth/>
    <w:ulTrailSpace/>
    <w:doNotExpandShiftReturn/>
    <w:adjustLineHeightInTable/>
    <w:useFELayout/>
  </w:compat>
  <w:rsids>
    <w:rsidRoot w:val="00F66BD2"/>
    <w:rsid w:val="000B706E"/>
    <w:rsid w:val="001122A5"/>
    <w:rsid w:val="00165E11"/>
    <w:rsid w:val="001665B6"/>
    <w:rsid w:val="00173649"/>
    <w:rsid w:val="001C24AD"/>
    <w:rsid w:val="001D214E"/>
    <w:rsid w:val="00217F74"/>
    <w:rsid w:val="00342A40"/>
    <w:rsid w:val="00380B10"/>
    <w:rsid w:val="0044792C"/>
    <w:rsid w:val="0048366C"/>
    <w:rsid w:val="00506595"/>
    <w:rsid w:val="00563F7D"/>
    <w:rsid w:val="0064565B"/>
    <w:rsid w:val="00682BBF"/>
    <w:rsid w:val="00686ABB"/>
    <w:rsid w:val="006F3576"/>
    <w:rsid w:val="00702895"/>
    <w:rsid w:val="007D32B2"/>
    <w:rsid w:val="00840E24"/>
    <w:rsid w:val="00853C75"/>
    <w:rsid w:val="00897A9E"/>
    <w:rsid w:val="009E39F5"/>
    <w:rsid w:val="00AB3CF5"/>
    <w:rsid w:val="00B14EAB"/>
    <w:rsid w:val="00B8087A"/>
    <w:rsid w:val="00BD6F79"/>
    <w:rsid w:val="00BF6C78"/>
    <w:rsid w:val="00C642EA"/>
    <w:rsid w:val="00D122B9"/>
    <w:rsid w:val="00D618CD"/>
    <w:rsid w:val="00D66E57"/>
    <w:rsid w:val="00E0733B"/>
    <w:rsid w:val="00E15550"/>
    <w:rsid w:val="00E708CE"/>
    <w:rsid w:val="00E77516"/>
    <w:rsid w:val="00EE7642"/>
    <w:rsid w:val="00F471BF"/>
    <w:rsid w:val="00F51A61"/>
    <w:rsid w:val="00F66BD2"/>
    <w:rsid w:val="00FD593E"/>
    <w:rsid w:val="7A2D4C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semiHidden="0" w:uiPriority="0" w:unhideWhenUsed="0" w:qFormat="1"/>
    <w:lsdException w:name="heading 3" w:semiHidden="0" w:uiPriority="0"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lsdException w:name="toc 2" w:semiHidden="0" w:uiPriority="0" w:unhideWhenUsed="0"/>
    <w:lsdException w:name="toc 3" w:semiHidden="0" w:uiPriority="0" w:unhideWhenUsed="0" w:qFormat="1"/>
    <w:lsdException w:name="toc 4" w:semiHidden="0" w:uiPriority="0" w:unhideWhenUsed="0" w:qFormat="1"/>
    <w:lsdException w:name="toc 5" w:semiHidden="0" w:uiPriority="0" w:unhideWhenUsed="0"/>
    <w:lsdException w:name="toc 6" w:uiPriority="39"/>
    <w:lsdException w:name="toc 7" w:uiPriority="39"/>
    <w:lsdException w:name="toc 8" w:uiPriority="39"/>
    <w:lsdException w:name="toc 9" w:uiPriority="39"/>
    <w:lsdException w:name="annotation text" w:semiHidden="0" w:uiPriority="0" w:unhideWhenUsed="0"/>
    <w:lsdException w:name="header" w:semiHidden="0" w:uiPriority="0" w:unhideWhenUsed="0"/>
    <w:lsdException w:name="footer" w:semiHidden="0" w:uiPriority="0" w:unhideWhenUsed="0"/>
    <w:lsdException w:name="caption" w:uiPriority="35" w:qFormat="1"/>
    <w:lsdException w:name="annotation reference" w:semiHidden="0" w:uiPriority="0" w:unhideWhenUsed="0"/>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uiPriority="0" w:unhideWhenUsed="0" w:qFormat="1"/>
    <w:lsdException w:name="annotation subject" w:semiHidden="0" w:uiPriority="0" w:unhideWhenUsed="0"/>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4792C"/>
    <w:pPr>
      <w:widowControl w:val="0"/>
      <w:jc w:val="both"/>
    </w:pPr>
    <w:rPr>
      <w:rFonts w:ascii="Calibri" w:hAnsi="Calibri" w:cs="Arial"/>
      <w:kern w:val="2"/>
      <w:sz w:val="21"/>
      <w:szCs w:val="22"/>
    </w:rPr>
  </w:style>
  <w:style w:type="paragraph" w:styleId="1">
    <w:name w:val="heading 1"/>
    <w:basedOn w:val="a"/>
    <w:next w:val="a"/>
    <w:rsid w:val="0044792C"/>
    <w:pPr>
      <w:keepNext/>
      <w:keepLines/>
      <w:spacing w:before="340" w:after="330" w:line="578" w:lineRule="auto"/>
      <w:outlineLvl w:val="0"/>
    </w:pPr>
    <w:rPr>
      <w:b/>
      <w:bCs/>
      <w:kern w:val="44"/>
      <w:sz w:val="44"/>
      <w:szCs w:val="44"/>
    </w:rPr>
  </w:style>
  <w:style w:type="paragraph" w:styleId="2">
    <w:name w:val="heading 2"/>
    <w:basedOn w:val="a"/>
    <w:next w:val="a"/>
    <w:qFormat/>
    <w:rsid w:val="0044792C"/>
    <w:pPr>
      <w:keepNext/>
      <w:keepLines/>
      <w:spacing w:before="260" w:after="260" w:line="415" w:lineRule="auto"/>
      <w:outlineLvl w:val="1"/>
    </w:pPr>
    <w:rPr>
      <w:rFonts w:ascii="Calibri Light" w:hAnsi="Calibri Light" w:cs="Times New Roman"/>
      <w:b/>
      <w:bCs/>
      <w:sz w:val="32"/>
      <w:szCs w:val="32"/>
    </w:rPr>
  </w:style>
  <w:style w:type="paragraph" w:styleId="3">
    <w:name w:val="heading 3"/>
    <w:basedOn w:val="a"/>
    <w:next w:val="a"/>
    <w:rsid w:val="0044792C"/>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44792C"/>
    <w:pPr>
      <w:jc w:val="left"/>
    </w:pPr>
  </w:style>
  <w:style w:type="paragraph" w:styleId="5">
    <w:name w:val="toc 5"/>
    <w:basedOn w:val="a"/>
    <w:next w:val="a"/>
    <w:autoRedefine/>
    <w:rsid w:val="0044792C"/>
    <w:pPr>
      <w:ind w:left="1680"/>
    </w:pPr>
  </w:style>
  <w:style w:type="paragraph" w:styleId="30">
    <w:name w:val="toc 3"/>
    <w:basedOn w:val="a"/>
    <w:next w:val="a"/>
    <w:autoRedefine/>
    <w:qFormat/>
    <w:rsid w:val="0044792C"/>
    <w:pPr>
      <w:ind w:left="840"/>
    </w:pPr>
  </w:style>
  <w:style w:type="paragraph" w:styleId="a4">
    <w:name w:val="Balloon Text"/>
    <w:basedOn w:val="a"/>
    <w:rsid w:val="0044792C"/>
    <w:rPr>
      <w:sz w:val="18"/>
      <w:szCs w:val="18"/>
    </w:rPr>
  </w:style>
  <w:style w:type="paragraph" w:styleId="a5">
    <w:name w:val="footer"/>
    <w:basedOn w:val="a"/>
    <w:rsid w:val="0044792C"/>
    <w:pPr>
      <w:tabs>
        <w:tab w:val="center" w:pos="4153"/>
        <w:tab w:val="right" w:pos="8306"/>
      </w:tabs>
      <w:snapToGrid w:val="0"/>
      <w:jc w:val="left"/>
    </w:pPr>
    <w:rPr>
      <w:sz w:val="18"/>
      <w:szCs w:val="18"/>
    </w:rPr>
  </w:style>
  <w:style w:type="paragraph" w:styleId="a6">
    <w:name w:val="header"/>
    <w:basedOn w:val="a"/>
    <w:rsid w:val="0044792C"/>
    <w:pPr>
      <w:pBdr>
        <w:bottom w:val="single" w:sz="6" w:space="1" w:color="auto"/>
      </w:pBdr>
      <w:tabs>
        <w:tab w:val="center" w:pos="4153"/>
        <w:tab w:val="right" w:pos="8306"/>
      </w:tabs>
      <w:snapToGrid w:val="0"/>
      <w:jc w:val="center"/>
    </w:pPr>
    <w:rPr>
      <w:sz w:val="18"/>
      <w:szCs w:val="18"/>
    </w:rPr>
  </w:style>
  <w:style w:type="paragraph" w:styleId="10">
    <w:name w:val="toc 1"/>
    <w:basedOn w:val="a"/>
    <w:next w:val="a"/>
    <w:rsid w:val="0044792C"/>
  </w:style>
  <w:style w:type="paragraph" w:styleId="4">
    <w:name w:val="toc 4"/>
    <w:basedOn w:val="a"/>
    <w:next w:val="a"/>
    <w:autoRedefine/>
    <w:qFormat/>
    <w:rsid w:val="0044792C"/>
    <w:pPr>
      <w:ind w:left="1260"/>
    </w:pPr>
  </w:style>
  <w:style w:type="paragraph" w:styleId="20">
    <w:name w:val="toc 2"/>
    <w:basedOn w:val="a"/>
    <w:next w:val="a"/>
    <w:rsid w:val="0044792C"/>
    <w:pPr>
      <w:ind w:leftChars="200" w:left="200"/>
    </w:pPr>
  </w:style>
  <w:style w:type="paragraph" w:styleId="a7">
    <w:name w:val="Normal (Web)"/>
    <w:basedOn w:val="a"/>
    <w:qFormat/>
    <w:rsid w:val="0044792C"/>
    <w:rPr>
      <w:sz w:val="24"/>
    </w:rPr>
  </w:style>
  <w:style w:type="paragraph" w:styleId="a8">
    <w:name w:val="annotation subject"/>
    <w:basedOn w:val="a3"/>
    <w:next w:val="a3"/>
    <w:rsid w:val="0044792C"/>
    <w:rPr>
      <w:b/>
      <w:bCs/>
    </w:rPr>
  </w:style>
  <w:style w:type="character" w:styleId="a9">
    <w:name w:val="Hyperlink"/>
    <w:basedOn w:val="a0"/>
    <w:rsid w:val="0044792C"/>
    <w:rPr>
      <w:color w:val="0563C1"/>
      <w:u w:val="single"/>
    </w:rPr>
  </w:style>
  <w:style w:type="character" w:styleId="aa">
    <w:name w:val="annotation reference"/>
    <w:basedOn w:val="a0"/>
    <w:rsid w:val="0044792C"/>
    <w:rPr>
      <w:sz w:val="21"/>
      <w:szCs w:val="21"/>
    </w:rPr>
  </w:style>
  <w:style w:type="paragraph" w:styleId="ab">
    <w:name w:val="List Paragraph"/>
    <w:basedOn w:val="a"/>
    <w:qFormat/>
    <w:rsid w:val="0044792C"/>
    <w:pPr>
      <w:ind w:firstLineChars="200" w:firstLine="200"/>
    </w:pPr>
  </w:style>
  <w:style w:type="paragraph" w:customStyle="1" w:styleId="TOC1">
    <w:name w:val="TOC 标题1"/>
    <w:basedOn w:val="1"/>
    <w:next w:val="a"/>
    <w:rsid w:val="0044792C"/>
    <w:pPr>
      <w:widowControl/>
      <w:spacing w:before="240" w:after="0" w:line="259" w:lineRule="auto"/>
      <w:jc w:val="left"/>
      <w:outlineLvl w:val="9"/>
    </w:pPr>
    <w:rPr>
      <w:rFonts w:ascii="Calibri Light" w:hAnsi="Calibri Light" w:cs="Times New Roman"/>
      <w:b w:val="0"/>
      <w:bCs w:val="0"/>
      <w:color w:val="2E74B5"/>
      <w:kern w:val="0"/>
      <w:sz w:val="32"/>
      <w:szCs w:val="32"/>
    </w:rPr>
  </w:style>
  <w:style w:type="paragraph" w:customStyle="1" w:styleId="11">
    <w:name w:val="列出段落1"/>
    <w:basedOn w:val="a"/>
    <w:rsid w:val="0044792C"/>
    <w:pPr>
      <w:ind w:firstLineChars="200" w:firstLine="200"/>
    </w:pPr>
    <w:rPr>
      <w:rFonts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3E73B-B9C0-4E6B-948A-CC5FCE312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Words>
  <Characters>587</Characters>
  <Application>Microsoft Office Word</Application>
  <DocSecurity>4</DocSecurity>
  <Lines>4</Lines>
  <Paragraphs>1</Paragraphs>
  <ScaleCrop>false</ScaleCrop>
  <Company>Microsoft</Company>
  <LinksUpToDate>false</LinksUpToDate>
  <CharactersWithSpaces>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孔令雯</dc:creator>
  <cp:lastModifiedBy>ZHONGM</cp:lastModifiedBy>
  <cp:revision>2</cp:revision>
  <cp:lastPrinted>2019-10-22T02:38:00Z</cp:lastPrinted>
  <dcterms:created xsi:type="dcterms:W3CDTF">2025-08-11T16:00:00Z</dcterms:created>
  <dcterms:modified xsi:type="dcterms:W3CDTF">2025-08-11T16:00:00Z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eyJoZGlkIjoiMmYyOTFkZGM5MjQxMTMzYTA4Yzc5ODEyNjIyOTc1ZDgiLCJ1c2VySWQiOiI3NDcyNTQ0NzUifQ==</vt:lpwstr>
  </property>
  <property fmtid="{D5CDD505-2E9C-101B-9397-08002B2CF9AE}" pid="4" name="ICV">
    <vt:lpwstr>7E5D67F0AE2F426CB324C2ABE57335A3_12</vt:lpwstr>
  </property>
</Properties>
</file>