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bookmarkStart w:id="0" w:name="_GoBack"/>
      <w:bookmarkEnd w:id="0"/>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39520E">
        <w:rPr>
          <w:rFonts w:ascii="Arial" w:eastAsia="宋体" w:hAnsi="Arial" w:cs="Arial" w:hint="eastAsia"/>
          <w:b/>
          <w:sz w:val="28"/>
          <w:szCs w:val="28"/>
        </w:rPr>
        <w:t>招商银行股份有限公司</w:t>
      </w:r>
      <w:r>
        <w:rPr>
          <w:rFonts w:ascii="Arial" w:eastAsia="宋体" w:hAnsi="Arial" w:cs="Arial"/>
          <w:b/>
          <w:sz w:val="28"/>
          <w:szCs w:val="28"/>
        </w:rPr>
        <w:t>申购费率优惠活动的公告</w:t>
      </w:r>
    </w:p>
    <w:p w:rsidR="00E53C93" w:rsidRPr="0000729F"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39520E">
        <w:rPr>
          <w:rFonts w:ascii="Arial" w:eastAsia="宋体" w:hAnsi="Arial" w:cs="Arial" w:hint="eastAsia"/>
          <w:sz w:val="24"/>
          <w:szCs w:val="24"/>
        </w:rPr>
        <w:t>招商银行股份有限公司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39520E">
        <w:rPr>
          <w:rFonts w:ascii="Arial" w:eastAsia="宋体" w:hAnsi="Arial" w:cs="Arial" w:hint="eastAsia"/>
          <w:sz w:val="24"/>
          <w:szCs w:val="24"/>
        </w:rPr>
        <w:t>招商银行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21743D">
        <w:rPr>
          <w:rFonts w:ascii="Arial" w:eastAsia="宋体" w:hAnsi="Arial" w:cs="Arial"/>
          <w:sz w:val="24"/>
          <w:szCs w:val="24"/>
        </w:rPr>
        <w:t>2025</w:t>
      </w:r>
      <w:r w:rsidR="0021743D">
        <w:rPr>
          <w:rFonts w:ascii="Arial" w:eastAsia="宋体" w:hAnsi="Arial" w:cs="Arial"/>
          <w:sz w:val="24"/>
          <w:szCs w:val="24"/>
        </w:rPr>
        <w:t>年</w:t>
      </w:r>
      <w:r w:rsidR="0039520E">
        <w:rPr>
          <w:rFonts w:ascii="Arial" w:eastAsia="宋体" w:hAnsi="Arial" w:cs="Arial"/>
          <w:sz w:val="24"/>
          <w:szCs w:val="24"/>
        </w:rPr>
        <w:t>8</w:t>
      </w:r>
      <w:r w:rsidR="004B718D">
        <w:rPr>
          <w:rFonts w:ascii="Arial" w:eastAsia="宋体" w:hAnsi="Arial" w:cs="Arial"/>
          <w:sz w:val="24"/>
          <w:szCs w:val="24"/>
        </w:rPr>
        <w:t>月</w:t>
      </w:r>
      <w:r w:rsidR="0039520E">
        <w:rPr>
          <w:rFonts w:ascii="Arial" w:eastAsia="宋体" w:hAnsi="Arial" w:cs="Arial"/>
          <w:sz w:val="24"/>
          <w:szCs w:val="24"/>
        </w:rPr>
        <w:t>8</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39520E">
        <w:rPr>
          <w:rFonts w:ascii="Arial" w:eastAsia="宋体" w:hAnsi="Arial" w:cs="Arial" w:hint="eastAsia"/>
          <w:sz w:val="24"/>
          <w:szCs w:val="24"/>
        </w:rPr>
        <w:t>招商银行</w:t>
      </w:r>
      <w:r>
        <w:rPr>
          <w:rFonts w:ascii="Arial" w:eastAsia="宋体" w:hAnsi="Arial" w:cs="Arial"/>
          <w:sz w:val="24"/>
          <w:szCs w:val="24"/>
        </w:rPr>
        <w:t>申购（含定期定额投资）费率优惠活动。</w:t>
      </w: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144" w:type="dxa"/>
        <w:jc w:val="center"/>
        <w:tblLook w:val="04A0"/>
      </w:tblPr>
      <w:tblGrid>
        <w:gridCol w:w="850"/>
        <w:gridCol w:w="1276"/>
        <w:gridCol w:w="6018"/>
      </w:tblGrid>
      <w:tr w:rsidR="00A514D2" w:rsidRPr="005E4B40" w:rsidTr="002E3D8D">
        <w:trPr>
          <w:trHeight w:val="437"/>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018"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39520E" w:rsidRPr="005E4B40" w:rsidTr="002E3D8D">
        <w:trPr>
          <w:trHeight w:val="437"/>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0E" w:rsidRPr="005E4B40" w:rsidRDefault="0039520E" w:rsidP="00A514D2">
            <w:pPr>
              <w:widowControl/>
              <w:jc w:val="center"/>
              <w:rPr>
                <w:rFonts w:ascii="宋体" w:eastAsia="宋体" w:hAnsi="宋体" w:cs="Arial"/>
                <w:kern w:val="0"/>
                <w:szCs w:val="20"/>
              </w:rPr>
            </w:pPr>
            <w:r>
              <w:rPr>
                <w:rFonts w:ascii="宋体" w:eastAsia="宋体" w:hAnsi="宋体" w:cs="Arial" w:hint="eastAsia"/>
                <w:kern w:val="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9520E" w:rsidRPr="005E4B40" w:rsidRDefault="0039520E" w:rsidP="00A514D2">
            <w:pPr>
              <w:widowControl/>
              <w:jc w:val="center"/>
              <w:rPr>
                <w:rFonts w:ascii="宋体" w:eastAsia="宋体" w:hAnsi="宋体" w:cs="Arial"/>
                <w:kern w:val="0"/>
                <w:szCs w:val="20"/>
              </w:rPr>
            </w:pPr>
            <w:r>
              <w:rPr>
                <w:rFonts w:ascii="宋体" w:eastAsia="宋体" w:hAnsi="宋体" w:cs="Arial" w:hint="eastAsia"/>
                <w:kern w:val="0"/>
                <w:szCs w:val="20"/>
              </w:rPr>
              <w:t>0</w:t>
            </w:r>
            <w:r>
              <w:rPr>
                <w:rFonts w:ascii="宋体" w:eastAsia="宋体" w:hAnsi="宋体" w:cs="Arial"/>
                <w:kern w:val="0"/>
                <w:szCs w:val="20"/>
              </w:rPr>
              <w:t>23826</w:t>
            </w:r>
          </w:p>
        </w:tc>
        <w:tc>
          <w:tcPr>
            <w:tcW w:w="6018" w:type="dxa"/>
            <w:tcBorders>
              <w:top w:val="single" w:sz="4" w:space="0" w:color="auto"/>
              <w:left w:val="nil"/>
              <w:bottom w:val="single" w:sz="4" w:space="0" w:color="auto"/>
              <w:right w:val="single" w:sz="4" w:space="0" w:color="auto"/>
            </w:tcBorders>
            <w:shd w:val="clear" w:color="auto" w:fill="auto"/>
            <w:noWrap/>
            <w:vAlign w:val="center"/>
          </w:tcPr>
          <w:p w:rsidR="0039520E" w:rsidRPr="0039520E" w:rsidRDefault="0039520E" w:rsidP="00A514D2">
            <w:pPr>
              <w:widowControl/>
              <w:jc w:val="center"/>
              <w:rPr>
                <w:rFonts w:ascii="宋体" w:eastAsia="宋体" w:hAnsi="宋体" w:cs="Arial"/>
                <w:kern w:val="0"/>
                <w:sz w:val="22"/>
                <w:szCs w:val="20"/>
              </w:rPr>
            </w:pPr>
            <w:r w:rsidRPr="0039520E">
              <w:rPr>
                <w:rFonts w:ascii="宋体" w:eastAsia="宋体" w:hAnsi="宋体" w:cs="Arial" w:hint="eastAsia"/>
                <w:kern w:val="0"/>
                <w:sz w:val="22"/>
                <w:szCs w:val="20"/>
              </w:rPr>
              <w:t>华商中证500指数增强型证券投资基金A</w:t>
            </w:r>
          </w:p>
        </w:tc>
      </w:tr>
      <w:tr w:rsidR="00296367" w:rsidTr="004E0096">
        <w:trPr>
          <w:trHeight w:val="4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296367" w:rsidRPr="004E0096" w:rsidRDefault="0039520E" w:rsidP="004E0096">
            <w:pPr>
              <w:widowControl/>
              <w:jc w:val="center"/>
              <w:rPr>
                <w:rFonts w:ascii="Arial" w:hAnsi="Arial" w:cs="Arial"/>
                <w:sz w:val="20"/>
                <w:szCs w:val="20"/>
              </w:rPr>
            </w:pPr>
            <w:r>
              <w:rPr>
                <w:rFonts w:ascii="Arial" w:hAnsi="Arial" w:cs="Arial"/>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296367" w:rsidRPr="0039520E" w:rsidRDefault="00296367" w:rsidP="004E0096">
            <w:pPr>
              <w:widowControl/>
              <w:jc w:val="center"/>
              <w:rPr>
                <w:rFonts w:ascii="宋体" w:eastAsia="宋体" w:hAnsi="宋体" w:cs="Arial"/>
                <w:kern w:val="0"/>
                <w:sz w:val="22"/>
                <w:szCs w:val="20"/>
              </w:rPr>
            </w:pPr>
            <w:r w:rsidRPr="0039520E">
              <w:rPr>
                <w:rFonts w:ascii="宋体" w:eastAsia="宋体" w:hAnsi="宋体" w:cs="Arial" w:hint="eastAsia"/>
                <w:kern w:val="0"/>
                <w:sz w:val="22"/>
                <w:szCs w:val="20"/>
              </w:rPr>
              <w:t>023897</w:t>
            </w:r>
          </w:p>
        </w:tc>
        <w:tc>
          <w:tcPr>
            <w:tcW w:w="6018" w:type="dxa"/>
            <w:tcBorders>
              <w:top w:val="nil"/>
              <w:left w:val="nil"/>
              <w:bottom w:val="single" w:sz="4" w:space="0" w:color="auto"/>
              <w:right w:val="single" w:sz="4" w:space="0" w:color="auto"/>
            </w:tcBorders>
            <w:shd w:val="clear" w:color="auto" w:fill="auto"/>
            <w:vAlign w:val="center"/>
            <w:hideMark/>
          </w:tcPr>
          <w:p w:rsidR="00296367" w:rsidRPr="0039520E" w:rsidRDefault="00296367" w:rsidP="004E0096">
            <w:pPr>
              <w:widowControl/>
              <w:jc w:val="center"/>
              <w:rPr>
                <w:rFonts w:ascii="宋体" w:eastAsia="宋体" w:hAnsi="宋体" w:cs="Arial"/>
                <w:kern w:val="0"/>
                <w:sz w:val="22"/>
                <w:szCs w:val="20"/>
              </w:rPr>
            </w:pPr>
            <w:r w:rsidRPr="0039520E">
              <w:rPr>
                <w:rFonts w:ascii="宋体" w:eastAsia="宋体" w:hAnsi="宋体" w:cs="Arial" w:hint="eastAsia"/>
                <w:kern w:val="0"/>
                <w:sz w:val="22"/>
                <w:szCs w:val="20"/>
              </w:rPr>
              <w:t>华商上证科创板综合指数增强型证券投资基金A</w:t>
            </w:r>
          </w:p>
        </w:tc>
      </w:tr>
    </w:tbl>
    <w:p w:rsidR="00F97E11" w:rsidRPr="000F2FEA"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39520E">
        <w:rPr>
          <w:rFonts w:ascii="Arial" w:eastAsia="宋体" w:hAnsi="Arial" w:cs="Arial"/>
          <w:sz w:val="24"/>
          <w:szCs w:val="24"/>
        </w:rPr>
        <w:t>招商银行</w:t>
      </w:r>
      <w:r>
        <w:rPr>
          <w:rFonts w:ascii="Arial" w:eastAsia="宋体" w:hAnsi="Arial" w:cs="Arial"/>
          <w:sz w:val="24"/>
          <w:szCs w:val="24"/>
        </w:rPr>
        <w:t>申购上述基金可享有申购（含定期定额投资）</w:t>
      </w:r>
      <w:r w:rsidR="000F2FEA">
        <w:rPr>
          <w:rFonts w:ascii="Arial" w:eastAsia="宋体" w:hAnsi="Arial" w:cs="Arial"/>
          <w:sz w:val="24"/>
          <w:szCs w:val="24"/>
        </w:rPr>
        <w:t>费率优惠</w:t>
      </w:r>
      <w:r w:rsidR="00637473">
        <w:rPr>
          <w:rFonts w:ascii="Arial" w:eastAsia="宋体" w:hAnsi="Arial" w:cs="Arial" w:hint="eastAsia"/>
          <w:sz w:val="24"/>
          <w:szCs w:val="24"/>
        </w:rPr>
        <w:t>，</w:t>
      </w:r>
      <w:r w:rsidR="0039520E">
        <w:rPr>
          <w:rFonts w:ascii="Arial" w:eastAsia="宋体" w:hAnsi="Arial" w:cs="Arial"/>
          <w:sz w:val="24"/>
          <w:szCs w:val="24"/>
        </w:rPr>
        <w:t>具体折扣费率以</w:t>
      </w:r>
      <w:r w:rsidR="0039520E">
        <w:rPr>
          <w:rFonts w:ascii="Arial" w:eastAsia="宋体" w:hAnsi="Arial" w:cs="Arial" w:hint="eastAsia"/>
          <w:sz w:val="24"/>
          <w:szCs w:val="24"/>
        </w:rPr>
        <w:t>招商银行</w:t>
      </w:r>
      <w:r w:rsidR="0039520E">
        <w:rPr>
          <w:rFonts w:ascii="Arial" w:eastAsia="宋体" w:hAnsi="Arial" w:cs="Arial"/>
          <w:sz w:val="24"/>
          <w:szCs w:val="24"/>
        </w:rPr>
        <w:t>的基金活动公告为准</w:t>
      </w:r>
      <w:r w:rsidR="0039520E">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39520E">
        <w:rPr>
          <w:rFonts w:ascii="Arial" w:eastAsia="宋体" w:hAnsi="Arial" w:cs="Arial"/>
          <w:sz w:val="24"/>
          <w:szCs w:val="24"/>
        </w:rPr>
        <w:t>招商银行</w:t>
      </w:r>
      <w:r>
        <w:rPr>
          <w:rFonts w:ascii="Arial" w:eastAsia="宋体" w:hAnsi="Arial" w:cs="Arial"/>
          <w:sz w:val="24"/>
          <w:szCs w:val="24"/>
        </w:rPr>
        <w:t>，费率优惠活动内容执行期间，调整适用基金范围、业务办理的相关规则及流程以</w:t>
      </w:r>
      <w:r w:rsidR="0039520E">
        <w:rPr>
          <w:rFonts w:ascii="Arial" w:eastAsia="宋体" w:hAnsi="Arial" w:cs="Arial"/>
          <w:sz w:val="24"/>
          <w:szCs w:val="24"/>
        </w:rPr>
        <w:t>招商银行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39520E">
        <w:rPr>
          <w:rFonts w:ascii="Arial" w:eastAsia="宋体" w:hAnsi="Arial" w:cs="Arial"/>
          <w:sz w:val="24"/>
          <w:szCs w:val="24"/>
        </w:rPr>
        <w:t>2025</w:t>
      </w:r>
      <w:r w:rsidR="0039520E">
        <w:rPr>
          <w:rFonts w:ascii="Arial" w:eastAsia="宋体" w:hAnsi="Arial" w:cs="Arial"/>
          <w:sz w:val="24"/>
          <w:szCs w:val="24"/>
        </w:rPr>
        <w:t>年</w:t>
      </w:r>
      <w:r w:rsidR="0039520E">
        <w:rPr>
          <w:rFonts w:ascii="Arial" w:eastAsia="宋体" w:hAnsi="Arial" w:cs="Arial"/>
          <w:sz w:val="24"/>
          <w:szCs w:val="24"/>
        </w:rPr>
        <w:t>8</w:t>
      </w:r>
      <w:r w:rsidR="004B718D">
        <w:rPr>
          <w:rFonts w:ascii="Arial" w:eastAsia="宋体" w:hAnsi="Arial" w:cs="Arial"/>
          <w:sz w:val="24"/>
          <w:szCs w:val="24"/>
        </w:rPr>
        <w:t>月</w:t>
      </w:r>
      <w:r w:rsidR="0039520E">
        <w:rPr>
          <w:rFonts w:ascii="Arial" w:eastAsia="宋体" w:hAnsi="Arial" w:cs="Arial"/>
          <w:sz w:val="24"/>
          <w:szCs w:val="24"/>
        </w:rPr>
        <w:t>8</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39520E">
        <w:rPr>
          <w:rFonts w:ascii="Arial" w:eastAsia="宋体" w:hAnsi="Arial" w:cs="Arial"/>
          <w:sz w:val="24"/>
          <w:szCs w:val="24"/>
        </w:rPr>
        <w:t>招商银行</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39520E">
        <w:rPr>
          <w:rFonts w:ascii="Arial" w:eastAsia="宋体" w:hAnsi="Arial" w:cs="Arial" w:hint="eastAsia"/>
          <w:sz w:val="24"/>
          <w:szCs w:val="24"/>
        </w:rPr>
        <w:t>招商银行</w:t>
      </w:r>
      <w:r>
        <w:rPr>
          <w:rFonts w:ascii="Arial" w:eastAsia="宋体" w:hAnsi="Arial" w:cs="Arial"/>
          <w:sz w:val="24"/>
          <w:szCs w:val="24"/>
        </w:rPr>
        <w:t>提交申请，约定每期扣款时间、扣款金额及扣款方式，由</w:t>
      </w:r>
      <w:r w:rsidR="0039520E">
        <w:rPr>
          <w:rFonts w:ascii="Arial" w:eastAsia="宋体" w:hAnsi="Arial" w:cs="Arial"/>
          <w:sz w:val="24"/>
          <w:szCs w:val="24"/>
        </w:rPr>
        <w:t>招商银行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2</w:t>
      </w:r>
      <w:r>
        <w:rPr>
          <w:rFonts w:ascii="Arial" w:eastAsia="宋体" w:hAnsi="Arial" w:cs="Arial"/>
          <w:sz w:val="24"/>
          <w:szCs w:val="24"/>
        </w:rPr>
        <w:t>、投资者办理上述基金的定期定额投资业务时，相关流程和业务规则请遵循</w:t>
      </w:r>
      <w:r w:rsidR="0039520E">
        <w:rPr>
          <w:rFonts w:ascii="Arial" w:eastAsia="宋体" w:hAnsi="Arial" w:cs="Arial"/>
          <w:sz w:val="24"/>
          <w:szCs w:val="24"/>
        </w:rPr>
        <w:t>招商银行</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39520E">
        <w:rPr>
          <w:rFonts w:hint="eastAsia"/>
          <w:color w:val="000000"/>
        </w:rPr>
        <w:t>招商银行股份有限公司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39520E" w:rsidRPr="0039520E">
        <w:rPr>
          <w:rFonts w:ascii="Arial" w:hAnsi="Arial" w:cs="Arial"/>
          <w:b/>
        </w:rPr>
        <w:t>95555</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39520E" w:rsidRPr="0039520E">
        <w:rPr>
          <w:rFonts w:ascii="Arial" w:hAnsi="Arial" w:cs="Arial"/>
          <w:b/>
        </w:rPr>
        <w:t>www.cmbchina.com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60277D" w:rsidRDefault="0060277D"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hint="eastAsia"/>
          <w:sz w:val="24"/>
        </w:rPr>
        <w:t>上述</w:t>
      </w:r>
      <w:r w:rsidRPr="0060277D">
        <w:rPr>
          <w:rFonts w:ascii="Arial" w:eastAsia="宋体" w:hAnsi="Arial" w:cs="Arial" w:hint="eastAsia"/>
          <w:sz w:val="24"/>
        </w:rPr>
        <w:t>基金可根据投资策略需要或不同配置地市场环境的变化，选择将部分基金资产投资于港股或选择不将基金资产投资于港股，基金资产并非必然投资港股。</w:t>
      </w:r>
      <w:r>
        <w:rPr>
          <w:rFonts w:ascii="Arial" w:eastAsia="宋体" w:hAnsi="Arial" w:cs="Arial" w:hint="eastAsia"/>
          <w:sz w:val="24"/>
        </w:rPr>
        <w:t>上述</w:t>
      </w:r>
      <w:r w:rsidRPr="0060277D">
        <w:rPr>
          <w:rFonts w:ascii="Arial" w:eastAsia="宋体" w:hAnsi="Arial" w:cs="Arial" w:hint="eastAsia"/>
          <w:sz w:val="24"/>
        </w:rPr>
        <w:t>基金若投资内地与香港股票市场交易互联互通机制（以下简称“港股通机制”）允许买卖的规定范围内的香港联合交易所上市的股票的，会面临港股通机制下因投资环境、投资标的、市场制度以及交易规则等差异带来的特有风险。</w:t>
      </w:r>
    </w:p>
    <w:p w:rsidR="00CB1481" w:rsidRDefault="002B2C68"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hint="eastAsia"/>
          <w:sz w:val="24"/>
        </w:rPr>
        <w:t>上述</w:t>
      </w:r>
      <w:r w:rsidR="00CB1481" w:rsidRPr="00CB1481">
        <w:rPr>
          <w:rFonts w:ascii="Arial" w:eastAsia="宋体" w:hAnsi="Arial" w:cs="Arial" w:hint="eastAsia"/>
          <w:sz w:val="24"/>
        </w:rPr>
        <w:t>基金是股票指数增强型基金，其预期风险</w:t>
      </w:r>
      <w:r>
        <w:rPr>
          <w:rFonts w:ascii="Arial" w:eastAsia="宋体" w:hAnsi="Arial" w:cs="Arial" w:hint="eastAsia"/>
          <w:sz w:val="24"/>
        </w:rPr>
        <w:t>与预期收益高于混合型基金、债券型基金与货币市场基金。同时，上述</w:t>
      </w:r>
      <w:r w:rsidR="00CB1481" w:rsidRPr="00CB1481">
        <w:rPr>
          <w:rFonts w:ascii="Arial" w:eastAsia="宋体" w:hAnsi="Arial" w:cs="Arial" w:hint="eastAsia"/>
          <w:sz w:val="24"/>
        </w:rPr>
        <w:t>基金主要投资于标的指数成份股及其备</w:t>
      </w:r>
      <w:r w:rsidR="00CB1481" w:rsidRPr="00CB1481">
        <w:rPr>
          <w:rFonts w:ascii="Arial" w:eastAsia="宋体" w:hAnsi="Arial" w:cs="Arial" w:hint="eastAsia"/>
          <w:sz w:val="24"/>
        </w:rPr>
        <w:lastRenderedPageBreak/>
        <w:t>选成份股，具有与标的指数相似的风险收益特征。</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39520E">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Pr>
          <w:rFonts w:ascii="Arial" w:eastAsia="宋体" w:hAnsi="Arial" w:cs="Arial"/>
          <w:sz w:val="24"/>
          <w:szCs w:val="24"/>
        </w:rPr>
        <w:t>年</w:t>
      </w:r>
      <w:r>
        <w:rPr>
          <w:rFonts w:ascii="Arial" w:eastAsia="宋体" w:hAnsi="Arial" w:cs="Arial"/>
          <w:sz w:val="24"/>
          <w:szCs w:val="24"/>
        </w:rPr>
        <w:t>8</w:t>
      </w:r>
      <w:r w:rsidR="004B718D">
        <w:rPr>
          <w:rFonts w:ascii="Arial" w:eastAsia="宋体" w:hAnsi="Arial" w:cs="Arial"/>
          <w:sz w:val="24"/>
          <w:szCs w:val="24"/>
        </w:rPr>
        <w:t>月</w:t>
      </w:r>
      <w:r>
        <w:rPr>
          <w:rFonts w:ascii="Arial" w:eastAsia="宋体" w:hAnsi="Arial" w:cs="Arial"/>
          <w:sz w:val="24"/>
          <w:szCs w:val="24"/>
        </w:rPr>
        <w:t>8</w:t>
      </w:r>
      <w:r w:rsidR="00941380">
        <w:rPr>
          <w:rFonts w:ascii="Arial" w:eastAsia="宋体" w:hAnsi="Arial" w:cs="Arial"/>
          <w:sz w:val="24"/>
          <w:szCs w:val="24"/>
        </w:rPr>
        <w:t>日</w:t>
      </w:r>
    </w:p>
    <w:sectPr w:rsidR="00E53C93" w:rsidSect="001361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5D0" w:rsidRDefault="008665D0"/>
  </w:endnote>
  <w:endnote w:type="continuationSeparator" w:id="0">
    <w:p w:rsidR="008665D0" w:rsidRDefault="008665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5D0" w:rsidRDefault="008665D0"/>
  </w:footnote>
  <w:footnote w:type="continuationSeparator" w:id="0">
    <w:p w:rsidR="008665D0" w:rsidRDefault="008665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0729F"/>
    <w:rsid w:val="00012824"/>
    <w:rsid w:val="00012F2E"/>
    <w:rsid w:val="00015006"/>
    <w:rsid w:val="0001537B"/>
    <w:rsid w:val="00015694"/>
    <w:rsid w:val="00016797"/>
    <w:rsid w:val="00017D4F"/>
    <w:rsid w:val="000200CC"/>
    <w:rsid w:val="00020AD5"/>
    <w:rsid w:val="0002100C"/>
    <w:rsid w:val="000210A0"/>
    <w:rsid w:val="0002504D"/>
    <w:rsid w:val="000254B0"/>
    <w:rsid w:val="0002581C"/>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47C5"/>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1D8"/>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1743D"/>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96367"/>
    <w:rsid w:val="002A154B"/>
    <w:rsid w:val="002A1F40"/>
    <w:rsid w:val="002A2485"/>
    <w:rsid w:val="002A3B03"/>
    <w:rsid w:val="002A3EAD"/>
    <w:rsid w:val="002A6ED5"/>
    <w:rsid w:val="002A6FA3"/>
    <w:rsid w:val="002A7048"/>
    <w:rsid w:val="002A757A"/>
    <w:rsid w:val="002B1541"/>
    <w:rsid w:val="002B2C68"/>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129C"/>
    <w:rsid w:val="002D28D1"/>
    <w:rsid w:val="002D376F"/>
    <w:rsid w:val="002D4C04"/>
    <w:rsid w:val="002D604C"/>
    <w:rsid w:val="002D65FF"/>
    <w:rsid w:val="002D6DE7"/>
    <w:rsid w:val="002E19B6"/>
    <w:rsid w:val="002E1DDE"/>
    <w:rsid w:val="002E2D6A"/>
    <w:rsid w:val="002E3B5A"/>
    <w:rsid w:val="002E3D8D"/>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44D"/>
    <w:rsid w:val="00363660"/>
    <w:rsid w:val="00364263"/>
    <w:rsid w:val="0036464D"/>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9520E"/>
    <w:rsid w:val="003A037B"/>
    <w:rsid w:val="003A03DE"/>
    <w:rsid w:val="003A1A8D"/>
    <w:rsid w:val="003A3938"/>
    <w:rsid w:val="003A6C0F"/>
    <w:rsid w:val="003A6E39"/>
    <w:rsid w:val="003A72EE"/>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1AC"/>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4CEA"/>
    <w:rsid w:val="004A6687"/>
    <w:rsid w:val="004B1532"/>
    <w:rsid w:val="004B3AE8"/>
    <w:rsid w:val="004B4590"/>
    <w:rsid w:val="004B6B21"/>
    <w:rsid w:val="004B718B"/>
    <w:rsid w:val="004B718D"/>
    <w:rsid w:val="004C079E"/>
    <w:rsid w:val="004C1744"/>
    <w:rsid w:val="004C280C"/>
    <w:rsid w:val="004C3BF7"/>
    <w:rsid w:val="004C414F"/>
    <w:rsid w:val="004C49B4"/>
    <w:rsid w:val="004C57A8"/>
    <w:rsid w:val="004C666E"/>
    <w:rsid w:val="004D1F1F"/>
    <w:rsid w:val="004D43AB"/>
    <w:rsid w:val="004D4D5F"/>
    <w:rsid w:val="004D5223"/>
    <w:rsid w:val="004D694F"/>
    <w:rsid w:val="004D6B89"/>
    <w:rsid w:val="004D6B8C"/>
    <w:rsid w:val="004D761A"/>
    <w:rsid w:val="004E0096"/>
    <w:rsid w:val="004E0DC2"/>
    <w:rsid w:val="004E16E3"/>
    <w:rsid w:val="004E17E0"/>
    <w:rsid w:val="004E364C"/>
    <w:rsid w:val="004E5146"/>
    <w:rsid w:val="004E7AD6"/>
    <w:rsid w:val="004E7B3B"/>
    <w:rsid w:val="004F0D9E"/>
    <w:rsid w:val="004F20C5"/>
    <w:rsid w:val="004F29EC"/>
    <w:rsid w:val="004F31CD"/>
    <w:rsid w:val="004F5393"/>
    <w:rsid w:val="004F557F"/>
    <w:rsid w:val="004F5FF9"/>
    <w:rsid w:val="004F6060"/>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81B"/>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A1E"/>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277D"/>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2B12"/>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665D0"/>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16BA6"/>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E2B63"/>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2B7"/>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481"/>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1F55"/>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0D72"/>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88B"/>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06C3"/>
    <w:rsid w:val="00FA152F"/>
    <w:rsid w:val="00FA205C"/>
    <w:rsid w:val="00FA2615"/>
    <w:rsid w:val="00FA2B08"/>
    <w:rsid w:val="00FA3086"/>
    <w:rsid w:val="00FA3E18"/>
    <w:rsid w:val="00FB058B"/>
    <w:rsid w:val="00FB271F"/>
    <w:rsid w:val="00FB36C7"/>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D8"/>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1361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361D8"/>
    <w:pPr>
      <w:jc w:val="left"/>
    </w:pPr>
  </w:style>
  <w:style w:type="paragraph" w:styleId="a4">
    <w:name w:val="Balloon Text"/>
    <w:basedOn w:val="a"/>
    <w:link w:val="Char0"/>
    <w:uiPriority w:val="99"/>
    <w:semiHidden/>
    <w:unhideWhenUsed/>
    <w:qFormat/>
    <w:rsid w:val="001361D8"/>
    <w:rPr>
      <w:sz w:val="18"/>
      <w:szCs w:val="18"/>
    </w:rPr>
  </w:style>
  <w:style w:type="paragraph" w:styleId="a5">
    <w:name w:val="footer"/>
    <w:basedOn w:val="a"/>
    <w:link w:val="Char1"/>
    <w:uiPriority w:val="99"/>
    <w:unhideWhenUsed/>
    <w:qFormat/>
    <w:rsid w:val="001361D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361D8"/>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1361D8"/>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361D8"/>
    <w:rPr>
      <w:b/>
      <w:bCs/>
    </w:rPr>
  </w:style>
  <w:style w:type="table" w:styleId="a9">
    <w:name w:val="Table Grid"/>
    <w:basedOn w:val="a1"/>
    <w:uiPriority w:val="59"/>
    <w:qFormat/>
    <w:rsid w:val="00136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1361D8"/>
    <w:rPr>
      <w:b/>
      <w:bCs/>
    </w:rPr>
  </w:style>
  <w:style w:type="character" w:styleId="ab">
    <w:name w:val="Hyperlink"/>
    <w:basedOn w:val="a0"/>
    <w:unhideWhenUsed/>
    <w:qFormat/>
    <w:rsid w:val="001361D8"/>
    <w:rPr>
      <w:color w:val="0000FF"/>
      <w:u w:val="single"/>
    </w:rPr>
  </w:style>
  <w:style w:type="character" w:styleId="ac">
    <w:name w:val="annotation reference"/>
    <w:basedOn w:val="a0"/>
    <w:uiPriority w:val="99"/>
    <w:semiHidden/>
    <w:unhideWhenUsed/>
    <w:qFormat/>
    <w:rsid w:val="001361D8"/>
    <w:rPr>
      <w:sz w:val="21"/>
      <w:szCs w:val="21"/>
    </w:rPr>
  </w:style>
  <w:style w:type="character" w:customStyle="1" w:styleId="Char2">
    <w:name w:val="页眉 Char"/>
    <w:basedOn w:val="a0"/>
    <w:link w:val="a6"/>
    <w:uiPriority w:val="99"/>
    <w:qFormat/>
    <w:rsid w:val="001361D8"/>
    <w:rPr>
      <w:sz w:val="18"/>
      <w:szCs w:val="18"/>
    </w:rPr>
  </w:style>
  <w:style w:type="character" w:customStyle="1" w:styleId="Char1">
    <w:name w:val="页脚 Char"/>
    <w:basedOn w:val="a0"/>
    <w:link w:val="a5"/>
    <w:uiPriority w:val="99"/>
    <w:qFormat/>
    <w:rsid w:val="001361D8"/>
    <w:rPr>
      <w:sz w:val="18"/>
      <w:szCs w:val="18"/>
    </w:rPr>
  </w:style>
  <w:style w:type="paragraph" w:styleId="ad">
    <w:name w:val="List Paragraph"/>
    <w:basedOn w:val="a"/>
    <w:uiPriority w:val="34"/>
    <w:qFormat/>
    <w:rsid w:val="001361D8"/>
    <w:pPr>
      <w:ind w:firstLineChars="200" w:firstLine="420"/>
    </w:pPr>
  </w:style>
  <w:style w:type="character" w:customStyle="1" w:styleId="2Char">
    <w:name w:val="标题 2 Char"/>
    <w:basedOn w:val="a0"/>
    <w:link w:val="2"/>
    <w:uiPriority w:val="9"/>
    <w:qFormat/>
    <w:rsid w:val="001361D8"/>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1361D8"/>
    <w:rPr>
      <w:sz w:val="18"/>
      <w:szCs w:val="18"/>
    </w:rPr>
  </w:style>
  <w:style w:type="character" w:customStyle="1" w:styleId="Char">
    <w:name w:val="批注文字 Char"/>
    <w:basedOn w:val="a0"/>
    <w:link w:val="a3"/>
    <w:uiPriority w:val="99"/>
    <w:semiHidden/>
    <w:qFormat/>
    <w:rsid w:val="001361D8"/>
  </w:style>
  <w:style w:type="character" w:customStyle="1" w:styleId="Char3">
    <w:name w:val="批注主题 Char"/>
    <w:basedOn w:val="Char"/>
    <w:link w:val="a8"/>
    <w:uiPriority w:val="99"/>
    <w:semiHidden/>
    <w:qFormat/>
    <w:rsid w:val="001361D8"/>
    <w:rPr>
      <w:b/>
      <w:bCs/>
    </w:rPr>
  </w:style>
  <w:style w:type="paragraph" w:customStyle="1" w:styleId="1">
    <w:name w:val="修订1"/>
    <w:hidden/>
    <w:uiPriority w:val="99"/>
    <w:semiHidden/>
    <w:qFormat/>
    <w:rsid w:val="001361D8"/>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1361D8"/>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1361D8"/>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1361D8"/>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1361D8"/>
    <w:rPr>
      <w:rFonts w:asciiTheme="minorHAnsi" w:eastAsiaTheme="minorEastAsia" w:hAnsiTheme="minorHAnsi" w:cstheme="minorBidi"/>
      <w:kern w:val="2"/>
      <w:sz w:val="21"/>
      <w:szCs w:val="22"/>
    </w:rPr>
  </w:style>
  <w:style w:type="character" w:customStyle="1" w:styleId="font41">
    <w:name w:val="font41"/>
    <w:basedOn w:val="a0"/>
    <w:qFormat/>
    <w:rsid w:val="001361D8"/>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979073008">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A672E-8D37-4668-8387-08758FD2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1316</Characters>
  <Application>Microsoft Office Word</Application>
  <DocSecurity>4</DocSecurity>
  <Lines>10</Lines>
  <Paragraphs>3</Paragraphs>
  <ScaleCrop>false</ScaleCrop>
  <Company>Microsoft</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2025-07-23T07:39:00Z</cp:lastPrinted>
  <dcterms:created xsi:type="dcterms:W3CDTF">2025-08-07T16:02:00Z</dcterms:created>
  <dcterms:modified xsi:type="dcterms:W3CDTF">2025-08-07T16:02:00Z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