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5F" w:rsidRDefault="00D46F18">
      <w:pPr>
        <w:spacing w:line="360" w:lineRule="auto"/>
        <w:ind w:firstLineChars="200" w:firstLine="602"/>
        <w:jc w:val="center"/>
        <w:rPr>
          <w:rFonts w:ascii="黑体" w:eastAsia="黑体" w:hAnsi="黑体" w:cs="Times New Roman"/>
          <w:b/>
          <w:color w:val="000000"/>
          <w:kern w:val="0"/>
          <w:sz w:val="30"/>
          <w:szCs w:val="30"/>
        </w:rPr>
      </w:pPr>
      <w:r>
        <w:rPr>
          <w:rFonts w:ascii="黑体" w:eastAsia="黑体" w:hAnsi="黑体" w:cs="Times New Roman" w:hint="eastAsia"/>
          <w:b/>
          <w:color w:val="000000"/>
          <w:kern w:val="0"/>
          <w:sz w:val="30"/>
          <w:szCs w:val="30"/>
        </w:rPr>
        <w:t>泉果基金管理有限公司</w:t>
      </w:r>
    </w:p>
    <w:p w:rsidR="00CA215F" w:rsidRDefault="00D46F18">
      <w:pPr>
        <w:spacing w:line="360" w:lineRule="auto"/>
        <w:ind w:firstLineChars="200" w:firstLine="602"/>
        <w:jc w:val="center"/>
        <w:rPr>
          <w:rFonts w:ascii="黑体" w:eastAsia="黑体" w:hAnsi="黑体" w:cs="Times New Roman"/>
          <w:b/>
          <w:color w:val="000000"/>
          <w:kern w:val="0"/>
          <w:sz w:val="30"/>
          <w:szCs w:val="30"/>
        </w:rPr>
      </w:pPr>
      <w:r>
        <w:rPr>
          <w:rFonts w:ascii="黑体" w:eastAsia="黑体" w:hAnsi="黑体" w:cs="Times New Roman" w:hint="eastAsia"/>
          <w:b/>
          <w:color w:val="000000"/>
          <w:kern w:val="0"/>
          <w:sz w:val="30"/>
          <w:szCs w:val="30"/>
        </w:rPr>
        <w:t>关于旗下部分基金</w:t>
      </w:r>
      <w:bookmarkStart w:id="0" w:name="_Hlk202446092"/>
      <w:r>
        <w:rPr>
          <w:rFonts w:ascii="黑体" w:eastAsia="黑体" w:hAnsi="黑体" w:cs="Times New Roman" w:hint="eastAsia"/>
          <w:b/>
          <w:color w:val="000000"/>
          <w:kern w:val="0"/>
          <w:sz w:val="30"/>
          <w:szCs w:val="30"/>
        </w:rPr>
        <w:t>开通转换转入业务</w:t>
      </w:r>
      <w:bookmarkEnd w:id="0"/>
      <w:r>
        <w:rPr>
          <w:rFonts w:ascii="黑体" w:eastAsia="黑体" w:hAnsi="黑体" w:cs="Times New Roman" w:hint="eastAsia"/>
          <w:b/>
          <w:color w:val="000000"/>
          <w:kern w:val="0"/>
          <w:sz w:val="30"/>
          <w:szCs w:val="30"/>
        </w:rPr>
        <w:t>的公告</w:t>
      </w:r>
    </w:p>
    <w:p w:rsidR="00CA215F" w:rsidRDefault="00CA215F">
      <w:pPr>
        <w:spacing w:line="360" w:lineRule="auto"/>
      </w:pPr>
    </w:p>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为更好地满足广大投资者的需求，泉果基金管理有限公司（以下简称“本基金管理人”或“本公司”</w:t>
      </w:r>
      <w:r>
        <w:rPr>
          <w:rFonts w:ascii="Times New Roman" w:eastAsia="宋体" w:hAnsi="Times New Roman" w:cs="Times New Roman"/>
          <w:sz w:val="24"/>
          <w:szCs w:val="24"/>
        </w:rPr>
        <w:t>）决定自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日起，开通旗下部分基金在同一登记机构内的</w:t>
      </w:r>
      <w:r>
        <w:rPr>
          <w:rFonts w:ascii="Times New Roman" w:eastAsia="宋体" w:hAnsi="Times New Roman" w:cs="Times New Roman" w:hint="eastAsia"/>
          <w:sz w:val="24"/>
          <w:szCs w:val="24"/>
        </w:rPr>
        <w:t>转换转入</w:t>
      </w:r>
      <w:r>
        <w:rPr>
          <w:rFonts w:ascii="Times New Roman" w:eastAsia="宋体" w:hAnsi="Times New Roman" w:cs="Times New Roman"/>
          <w:sz w:val="24"/>
          <w:szCs w:val="24"/>
        </w:rPr>
        <w:t>业务。现将相关事项公告如下：</w:t>
      </w:r>
    </w:p>
    <w:p w:rsidR="00CA215F" w:rsidRDefault="00CA215F">
      <w:pPr>
        <w:spacing w:line="360" w:lineRule="auto"/>
        <w:ind w:firstLineChars="200" w:firstLine="480"/>
        <w:rPr>
          <w:rFonts w:ascii="Times New Roman" w:eastAsia="宋体" w:hAnsi="Times New Roman" w:cs="Times New Roman"/>
          <w:sz w:val="24"/>
          <w:szCs w:val="24"/>
        </w:rPr>
      </w:pPr>
      <w:bookmarkStart w:id="1" w:name="_GoBack"/>
      <w:bookmarkEnd w:id="1"/>
    </w:p>
    <w:p w:rsidR="00CA215F" w:rsidRDefault="00D46F18">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一、适用基金及业务</w:t>
      </w:r>
    </w:p>
    <w:tbl>
      <w:tblPr>
        <w:tblStyle w:val="TableNormal"/>
        <w:tblW w:w="102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851"/>
        <w:gridCol w:w="2205"/>
        <w:gridCol w:w="2205"/>
      </w:tblGrid>
      <w:tr w:rsidR="00CA215F">
        <w:trPr>
          <w:trHeight w:val="602"/>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spacing w:before="54"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基金名称</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spacing w:before="54"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基金代码</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spacing w:before="54"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本次开通业务</w:t>
            </w:r>
          </w:p>
        </w:tc>
      </w:tr>
      <w:tr w:rsidR="00CA215F">
        <w:trPr>
          <w:trHeight w:val="615"/>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泉果旭源三年持有期混合型证券投资基金</w:t>
            </w:r>
            <w:r>
              <w:rPr>
                <w:rFonts w:hint="eastAsia"/>
                <w:color w:val="auto"/>
                <w:kern w:val="2"/>
                <w:sz w:val="24"/>
                <w:szCs w:val="24"/>
              </w:rPr>
              <w:t>A</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016709</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r w:rsidR="00CA215F">
        <w:trPr>
          <w:trHeight w:val="615"/>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泉果旭源三年持有期混合型证券投资基金</w:t>
            </w:r>
            <w:r>
              <w:rPr>
                <w:rFonts w:hint="eastAsia"/>
                <w:color w:val="auto"/>
                <w:kern w:val="2"/>
                <w:sz w:val="24"/>
                <w:szCs w:val="24"/>
              </w:rPr>
              <w:t>C</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016710</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r w:rsidR="00CA215F">
        <w:trPr>
          <w:trHeight w:val="666"/>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泉果思源三年持有期混合型证券投资基金</w:t>
            </w:r>
            <w:r>
              <w:rPr>
                <w:rFonts w:hint="eastAsia"/>
                <w:color w:val="auto"/>
                <w:kern w:val="2"/>
                <w:sz w:val="24"/>
                <w:szCs w:val="24"/>
              </w:rPr>
              <w:t>A</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018329</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r w:rsidR="00CA215F">
        <w:trPr>
          <w:trHeight w:val="666"/>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泉果思源三年持有期混合型证券投资基金</w:t>
            </w:r>
            <w:r>
              <w:rPr>
                <w:rFonts w:hint="eastAsia"/>
                <w:color w:val="auto"/>
                <w:kern w:val="2"/>
                <w:sz w:val="24"/>
                <w:szCs w:val="24"/>
              </w:rPr>
              <w:t>C</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018330</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r w:rsidR="00CA215F">
        <w:trPr>
          <w:trHeight w:val="666"/>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泉果嘉源三年持有期混合型证券投资基金</w:t>
            </w:r>
            <w:r>
              <w:rPr>
                <w:rFonts w:hint="eastAsia"/>
                <w:color w:val="auto"/>
                <w:kern w:val="2"/>
                <w:sz w:val="24"/>
                <w:szCs w:val="24"/>
              </w:rPr>
              <w:t>A</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019624</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r w:rsidR="00CA215F">
        <w:trPr>
          <w:trHeight w:val="666"/>
          <w:jc w:val="center"/>
        </w:trPr>
        <w:tc>
          <w:tcPr>
            <w:tcW w:w="5851"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50" w:line="360" w:lineRule="auto"/>
              <w:jc w:val="center"/>
              <w:rPr>
                <w:color w:val="auto"/>
                <w:kern w:val="2"/>
                <w:sz w:val="24"/>
                <w:szCs w:val="24"/>
              </w:rPr>
            </w:pPr>
            <w:r>
              <w:rPr>
                <w:rFonts w:hint="eastAsia"/>
                <w:color w:val="auto"/>
                <w:kern w:val="2"/>
                <w:sz w:val="24"/>
                <w:szCs w:val="24"/>
              </w:rPr>
              <w:t>泉果嘉源三年持有期混合型证券投资基金</w:t>
            </w:r>
            <w:r>
              <w:rPr>
                <w:rFonts w:hint="eastAsia"/>
                <w:color w:val="auto"/>
                <w:kern w:val="2"/>
                <w:sz w:val="24"/>
                <w:szCs w:val="24"/>
              </w:rPr>
              <w:t>C</w:t>
            </w:r>
            <w:r>
              <w:rPr>
                <w:rFonts w:hint="eastAsia"/>
                <w:color w:val="auto"/>
                <w:kern w:val="2"/>
                <w:sz w:val="24"/>
                <w:szCs w:val="24"/>
              </w:rPr>
              <w:t>类份额</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019625</w:t>
            </w:r>
          </w:p>
        </w:tc>
        <w:tc>
          <w:tcPr>
            <w:tcW w:w="2205" w:type="dxa"/>
            <w:tcBorders>
              <w:top w:val="single" w:sz="2" w:space="0" w:color="000000"/>
              <w:left w:val="single" w:sz="2" w:space="0" w:color="000000"/>
              <w:bottom w:val="single" w:sz="2" w:space="0" w:color="000000"/>
              <w:right w:val="single" w:sz="2" w:space="0" w:color="000000"/>
            </w:tcBorders>
            <w:vAlign w:val="center"/>
          </w:tcPr>
          <w:p w:rsidR="00CA215F" w:rsidRDefault="00D46F18">
            <w:pPr>
              <w:pStyle w:val="TableText"/>
              <w:spacing w:before="86" w:line="360" w:lineRule="auto"/>
              <w:jc w:val="center"/>
              <w:rPr>
                <w:color w:val="auto"/>
                <w:kern w:val="2"/>
                <w:sz w:val="24"/>
                <w:szCs w:val="24"/>
              </w:rPr>
            </w:pPr>
            <w:r>
              <w:rPr>
                <w:rFonts w:hint="eastAsia"/>
                <w:color w:val="auto"/>
                <w:kern w:val="2"/>
                <w:sz w:val="24"/>
                <w:szCs w:val="24"/>
              </w:rPr>
              <w:t>转换转入</w:t>
            </w:r>
          </w:p>
        </w:tc>
      </w:tr>
    </w:tbl>
    <w:p w:rsidR="00CA215F" w:rsidRDefault="00CA215F">
      <w:pPr>
        <w:spacing w:line="360" w:lineRule="auto"/>
        <w:ind w:firstLineChars="200" w:firstLine="480"/>
        <w:rPr>
          <w:rFonts w:ascii="Times New Roman" w:eastAsia="宋体" w:hAnsi="Times New Roman" w:cs="Times New Roman"/>
          <w:sz w:val="24"/>
          <w:szCs w:val="24"/>
        </w:rPr>
      </w:pPr>
    </w:p>
    <w:p w:rsidR="00CA215F" w:rsidRDefault="00D46F18">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二、办理时间</w:t>
      </w:r>
    </w:p>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基金转换转入业务的申请受理时间与基金日常申购业务受理时间相同。具体办理规则请遵循各销售机构的相关规定。</w:t>
      </w:r>
    </w:p>
    <w:p w:rsidR="00CA215F" w:rsidRDefault="00CA215F">
      <w:pPr>
        <w:spacing w:line="360" w:lineRule="auto"/>
        <w:ind w:firstLineChars="200" w:firstLine="480"/>
        <w:rPr>
          <w:rFonts w:ascii="Times New Roman" w:eastAsia="宋体" w:hAnsi="Times New Roman" w:cs="Times New Roman"/>
          <w:sz w:val="24"/>
          <w:szCs w:val="24"/>
        </w:rPr>
      </w:pPr>
    </w:p>
    <w:p w:rsidR="00CA215F" w:rsidRDefault="00D46F18">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三、办理机构</w:t>
      </w:r>
    </w:p>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起，投资者可通过直销机构（包括直销中心和网上交易系统，下同）办理上述基金</w:t>
      </w:r>
      <w:r>
        <w:rPr>
          <w:rFonts w:ascii="Times New Roman" w:eastAsia="宋体" w:hAnsi="Times New Roman" w:cs="Times New Roman"/>
          <w:sz w:val="24"/>
          <w:szCs w:val="24"/>
        </w:rPr>
        <w:t>在同一登记机构内的</w:t>
      </w:r>
      <w:r>
        <w:rPr>
          <w:rFonts w:ascii="Times New Roman" w:eastAsia="宋体" w:hAnsi="Times New Roman" w:cs="Times New Roman" w:hint="eastAsia"/>
          <w:sz w:val="24"/>
          <w:szCs w:val="24"/>
        </w:rPr>
        <w:t>转换转入</w:t>
      </w:r>
      <w:r>
        <w:rPr>
          <w:rFonts w:ascii="Times New Roman" w:eastAsia="宋体" w:hAnsi="Times New Roman" w:cs="Times New Roman"/>
          <w:sz w:val="24"/>
          <w:szCs w:val="24"/>
        </w:rPr>
        <w:t>业务</w:t>
      </w:r>
      <w:r>
        <w:rPr>
          <w:rFonts w:ascii="Times New Roman" w:eastAsia="宋体" w:hAnsi="Times New Roman" w:cs="Times New Roman" w:hint="eastAsia"/>
          <w:sz w:val="24"/>
          <w:szCs w:val="24"/>
        </w:rPr>
        <w:t>。</w:t>
      </w:r>
      <w:r>
        <w:rPr>
          <w:rFonts w:ascii="Times New Roman" w:eastAsia="宋体" w:hAnsi="Times New Roman" w:cs="Times New Roman"/>
          <w:sz w:val="24"/>
          <w:szCs w:val="24"/>
        </w:rPr>
        <w:t>除直销</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以外的其他销售机构的业务支持情况，以各销售机构的业务安排为准</w:t>
      </w:r>
      <w:r>
        <w:rPr>
          <w:rFonts w:ascii="Times New Roman" w:eastAsia="宋体" w:hAnsi="Times New Roman" w:cs="Times New Roman" w:hint="eastAsia"/>
          <w:sz w:val="24"/>
          <w:szCs w:val="24"/>
        </w:rPr>
        <w:t>。</w:t>
      </w:r>
    </w:p>
    <w:p w:rsidR="00CA215F" w:rsidRDefault="00CA215F">
      <w:pPr>
        <w:spacing w:line="360" w:lineRule="auto"/>
        <w:ind w:firstLineChars="200" w:firstLine="480"/>
        <w:rPr>
          <w:rFonts w:ascii="Times New Roman" w:eastAsia="宋体" w:hAnsi="Times New Roman" w:cs="Times New Roman"/>
          <w:sz w:val="24"/>
          <w:szCs w:val="24"/>
        </w:rPr>
      </w:pPr>
    </w:p>
    <w:p w:rsidR="00CA215F" w:rsidRDefault="00D46F18">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bookmarkStart w:id="2" w:name="_Hlk202446973"/>
      <w:r>
        <w:rPr>
          <w:rFonts w:ascii="Times New Roman" w:eastAsia="宋体" w:hAnsi="Times New Roman" w:cs="Times New Roman" w:hint="eastAsia"/>
          <w:b/>
          <w:bCs/>
          <w:sz w:val="24"/>
          <w:szCs w:val="24"/>
        </w:rPr>
        <w:t>其他需要提示的事项</w:t>
      </w:r>
    </w:p>
    <w:bookmarkEnd w:id="2"/>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基金转换业务的规则、费用及计算方法请参见本公司已</w:t>
      </w:r>
      <w:r>
        <w:rPr>
          <w:rFonts w:ascii="Times New Roman" w:eastAsia="宋体" w:hAnsi="Times New Roman" w:cs="Times New Roman" w:hint="eastAsia"/>
          <w:sz w:val="24"/>
          <w:szCs w:val="24"/>
        </w:rPr>
        <w:t>发布的</w:t>
      </w:r>
      <w:r>
        <w:rPr>
          <w:rFonts w:ascii="Times New Roman" w:eastAsia="宋体" w:hAnsi="Times New Roman" w:cs="Times New Roman"/>
          <w:sz w:val="24"/>
          <w:szCs w:val="24"/>
        </w:rPr>
        <w:t>转换业务相关公告。</w:t>
      </w:r>
      <w:r>
        <w:rPr>
          <w:rFonts w:ascii="Times New Roman" w:eastAsia="宋体" w:hAnsi="Times New Roman" w:cs="Times New Roman"/>
          <w:sz w:val="24"/>
          <w:szCs w:val="24"/>
        </w:rPr>
        <w:t>基金转换后，转入的基金份额的持有期将自转入的基金份额被确认之日起重新开始计算。</w:t>
      </w:r>
    </w:p>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、本基金管理人旗下基金转换业务规则的解释权归本基金管理人所有。本基金管理人有权根据市场情况或法律法规变化调整转换业务规则及有关限制，并另行公告。</w:t>
      </w:r>
    </w:p>
    <w:p w:rsidR="00CA215F" w:rsidRDefault="00D46F18">
      <w:pPr>
        <w:spacing w:line="360" w:lineRule="auto"/>
        <w:ind w:firstLineChars="200" w:firstLine="480"/>
        <w:rPr>
          <w:rFonts w:ascii="Times New Roman" w:eastAsia="宋体" w:hAnsi="Times New Roman" w:cs="Times New Roman"/>
          <w:sz w:val="24"/>
          <w:szCs w:val="24"/>
        </w:rPr>
      </w:pPr>
      <w:bookmarkStart w:id="3" w:name="_Hlk202446742"/>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、本公告仅对开通上述转换转入业务的有关事项予以说明。投资者欲了解上述基金的详细情况，请详细阅读上述基金《基金合同》《招募说明书》等法律文件。</w:t>
      </w:r>
    </w:p>
    <w:bookmarkEnd w:id="3"/>
    <w:p w:rsidR="00CA215F" w:rsidRDefault="00D46F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投资者可登陆本公司网站（</w:t>
      </w:r>
      <w:r>
        <w:rPr>
          <w:rFonts w:ascii="Times New Roman" w:eastAsia="宋体" w:hAnsi="Times New Roman" w:cs="Times New Roman"/>
          <w:sz w:val="24"/>
          <w:szCs w:val="24"/>
        </w:rPr>
        <w:t>www.qgfund.com</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泉果基金</w:t>
      </w:r>
      <w:r>
        <w:rPr>
          <w:rFonts w:ascii="Times New Roman" w:eastAsia="宋体" w:hAnsi="Times New Roman" w:cs="Times New Roman" w:hint="eastAsia"/>
          <w:sz w:val="24"/>
          <w:szCs w:val="24"/>
        </w:rPr>
        <w:t>”</w:t>
      </w:r>
      <w:r>
        <w:rPr>
          <w:rFonts w:ascii="Times New Roman" w:eastAsia="宋体" w:hAnsi="Times New Roman" w:cs="Times New Roman"/>
          <w:sz w:val="24"/>
          <w:szCs w:val="24"/>
        </w:rPr>
        <w:t>APP</w:t>
      </w:r>
      <w:r>
        <w:rPr>
          <w:rFonts w:ascii="Times New Roman" w:eastAsia="宋体" w:hAnsi="Times New Roman" w:cs="Times New Roman"/>
          <w:sz w:val="24"/>
          <w:szCs w:val="24"/>
        </w:rPr>
        <w:t>查询相关信息，或拨打本公司的客户服务电话（</w:t>
      </w:r>
      <w:r>
        <w:rPr>
          <w:rFonts w:ascii="Times New Roman" w:eastAsia="宋体" w:hAnsi="Times New Roman" w:cs="Times New Roman"/>
          <w:sz w:val="24"/>
          <w:szCs w:val="24"/>
        </w:rPr>
        <w:t>400-158-6599</w:t>
      </w:r>
      <w:r>
        <w:rPr>
          <w:rFonts w:ascii="Times New Roman" w:eastAsia="宋体" w:hAnsi="Times New Roman" w:cs="Times New Roman"/>
          <w:sz w:val="24"/>
          <w:szCs w:val="24"/>
        </w:rPr>
        <w:t>）咨询相关事宜。</w:t>
      </w:r>
    </w:p>
    <w:p w:rsidR="00CA215F" w:rsidRDefault="00CA215F">
      <w:pPr>
        <w:spacing w:line="360" w:lineRule="auto"/>
        <w:ind w:firstLineChars="200" w:firstLine="480"/>
        <w:rPr>
          <w:rFonts w:ascii="Times New Roman" w:eastAsia="宋体" w:hAnsi="Times New Roman" w:cs="Times New Roman"/>
          <w:sz w:val="24"/>
          <w:szCs w:val="24"/>
        </w:rPr>
      </w:pPr>
    </w:p>
    <w:p w:rsidR="00CA215F" w:rsidRDefault="00D46F18">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风险提示：</w:t>
      </w:r>
      <w:r>
        <w:rPr>
          <w:rFonts w:ascii="Times New Roman" w:eastAsia="宋体" w:hAnsi="Times New Roman" w:cs="Times New Roman"/>
          <w:sz w:val="24"/>
          <w:szCs w:val="24"/>
        </w:rPr>
        <w:t>本基金管理人承诺以诚实信用、勤勉尽责的原则管理和运用基金财产，但不保证基金一定盈利，也不保证最低收益。基金的过往业绩不代表未来表现，基金管理人管理的其他基金的业绩及投资人员的过往业绩也不构成对基</w:t>
      </w:r>
      <w:r>
        <w:rPr>
          <w:rFonts w:ascii="Times New Roman" w:eastAsia="宋体" w:hAnsi="Times New Roman" w:cs="Times New Roman"/>
          <w:sz w:val="24"/>
          <w:szCs w:val="24"/>
        </w:rPr>
        <w:t>金业绩表现的保证。敬请投资者于投资前认真阅读基金的《基金合同》、《招募说明书》及《基金产品资料概要》等信息披露文件，全面认识基金产品的风险收益特征和产品特性，自主判断基金的投资价值，并根据自身的投资目的、投资期限、投资经验、资产状况等判断基金是否和自身的风险承受能力相适。基金投资需谨慎，敬请投资者注意投资风险。</w:t>
      </w:r>
    </w:p>
    <w:p w:rsidR="00CA215F" w:rsidRDefault="00CA215F">
      <w:pPr>
        <w:spacing w:line="360" w:lineRule="auto"/>
        <w:ind w:firstLineChars="200" w:firstLine="480"/>
        <w:rPr>
          <w:rFonts w:ascii="Times New Roman" w:eastAsia="宋体" w:hAnsi="Times New Roman" w:cs="Times New Roman"/>
          <w:sz w:val="24"/>
          <w:szCs w:val="24"/>
        </w:rPr>
      </w:pPr>
    </w:p>
    <w:p w:rsidR="00CA215F" w:rsidRDefault="00D46F18">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泉果基金管理有限公司</w:t>
      </w:r>
    </w:p>
    <w:p w:rsidR="00CA215F" w:rsidRDefault="00D46F18">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sz w:val="24"/>
          <w:szCs w:val="24"/>
        </w:rPr>
        <w:t>日</w:t>
      </w:r>
    </w:p>
    <w:sectPr w:rsidR="00CA215F" w:rsidSect="00CA2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06B8C"/>
    <w:rsid w:val="00005668"/>
    <w:rsid w:val="00035351"/>
    <w:rsid w:val="0004175B"/>
    <w:rsid w:val="00066E80"/>
    <w:rsid w:val="000B7178"/>
    <w:rsid w:val="001327C0"/>
    <w:rsid w:val="001F3B04"/>
    <w:rsid w:val="00200212"/>
    <w:rsid w:val="00272292"/>
    <w:rsid w:val="002B6CAA"/>
    <w:rsid w:val="003240FF"/>
    <w:rsid w:val="00392C95"/>
    <w:rsid w:val="00432213"/>
    <w:rsid w:val="0046425F"/>
    <w:rsid w:val="00482966"/>
    <w:rsid w:val="00486445"/>
    <w:rsid w:val="00494FCD"/>
    <w:rsid w:val="004C04D7"/>
    <w:rsid w:val="004E557F"/>
    <w:rsid w:val="00551707"/>
    <w:rsid w:val="00563632"/>
    <w:rsid w:val="0056533F"/>
    <w:rsid w:val="00587FF0"/>
    <w:rsid w:val="005B51B4"/>
    <w:rsid w:val="005D54FB"/>
    <w:rsid w:val="005E3AAC"/>
    <w:rsid w:val="00640227"/>
    <w:rsid w:val="00685747"/>
    <w:rsid w:val="0069426E"/>
    <w:rsid w:val="006A2133"/>
    <w:rsid w:val="006D0216"/>
    <w:rsid w:val="006D3CF5"/>
    <w:rsid w:val="00705BC2"/>
    <w:rsid w:val="00717007"/>
    <w:rsid w:val="0079016F"/>
    <w:rsid w:val="007C136A"/>
    <w:rsid w:val="007D291B"/>
    <w:rsid w:val="007D7E1C"/>
    <w:rsid w:val="00873FA9"/>
    <w:rsid w:val="008906E1"/>
    <w:rsid w:val="008A0BCE"/>
    <w:rsid w:val="008A4A76"/>
    <w:rsid w:val="008B7FC8"/>
    <w:rsid w:val="00906558"/>
    <w:rsid w:val="0099038B"/>
    <w:rsid w:val="00994500"/>
    <w:rsid w:val="009A5E2F"/>
    <w:rsid w:val="00A00CD1"/>
    <w:rsid w:val="00A06B8C"/>
    <w:rsid w:val="00A22819"/>
    <w:rsid w:val="00A47702"/>
    <w:rsid w:val="00A64C66"/>
    <w:rsid w:val="00AD06C6"/>
    <w:rsid w:val="00AD2D81"/>
    <w:rsid w:val="00AD382E"/>
    <w:rsid w:val="00B76B4B"/>
    <w:rsid w:val="00C307FF"/>
    <w:rsid w:val="00C52FDC"/>
    <w:rsid w:val="00C622BF"/>
    <w:rsid w:val="00C827C8"/>
    <w:rsid w:val="00C93256"/>
    <w:rsid w:val="00CA215F"/>
    <w:rsid w:val="00D24527"/>
    <w:rsid w:val="00D46F18"/>
    <w:rsid w:val="00D5518D"/>
    <w:rsid w:val="00D653E0"/>
    <w:rsid w:val="00D66B6C"/>
    <w:rsid w:val="00D745FE"/>
    <w:rsid w:val="00D90340"/>
    <w:rsid w:val="00DD7CFD"/>
    <w:rsid w:val="00DE1BFA"/>
    <w:rsid w:val="00E46261"/>
    <w:rsid w:val="00E47A20"/>
    <w:rsid w:val="00E85A14"/>
    <w:rsid w:val="00E9041F"/>
    <w:rsid w:val="00F04E59"/>
    <w:rsid w:val="00F67462"/>
    <w:rsid w:val="00F74ADD"/>
    <w:rsid w:val="00F77B6F"/>
    <w:rsid w:val="00F866AD"/>
    <w:rsid w:val="00FB78D5"/>
    <w:rsid w:val="00FE1EB0"/>
    <w:rsid w:val="0A135D54"/>
    <w:rsid w:val="2B44487E"/>
    <w:rsid w:val="353A23E0"/>
    <w:rsid w:val="435A7080"/>
    <w:rsid w:val="44993364"/>
    <w:rsid w:val="4EAB1B55"/>
    <w:rsid w:val="55256F93"/>
    <w:rsid w:val="57C64245"/>
    <w:rsid w:val="5F455177"/>
    <w:rsid w:val="66916ABB"/>
    <w:rsid w:val="691F0A01"/>
    <w:rsid w:val="6A1404AE"/>
    <w:rsid w:val="6DBA2DBC"/>
    <w:rsid w:val="739F5A98"/>
    <w:rsid w:val="78B15704"/>
    <w:rsid w:val="7F5B5F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A215F"/>
    <w:pPr>
      <w:jc w:val="left"/>
    </w:pPr>
  </w:style>
  <w:style w:type="paragraph" w:styleId="a4">
    <w:name w:val="footer"/>
    <w:basedOn w:val="a"/>
    <w:link w:val="Char0"/>
    <w:uiPriority w:val="99"/>
    <w:unhideWhenUsed/>
    <w:qFormat/>
    <w:rsid w:val="00CA215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A215F"/>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sid w:val="00CA215F"/>
    <w:rPr>
      <w:b/>
      <w:bCs/>
    </w:rPr>
  </w:style>
  <w:style w:type="character" w:styleId="a7">
    <w:name w:val="annotation reference"/>
    <w:basedOn w:val="a0"/>
    <w:uiPriority w:val="99"/>
    <w:semiHidden/>
    <w:unhideWhenUsed/>
    <w:qFormat/>
    <w:rsid w:val="00CA215F"/>
    <w:rPr>
      <w:sz w:val="21"/>
      <w:szCs w:val="21"/>
    </w:rPr>
  </w:style>
  <w:style w:type="paragraph" w:customStyle="1" w:styleId="TableText">
    <w:name w:val="Table Text"/>
    <w:basedOn w:val="a"/>
    <w:semiHidden/>
    <w:qFormat/>
    <w:rsid w:val="00CA215F"/>
    <w:pPr>
      <w:widowControl/>
      <w:kinsoku w:val="0"/>
      <w:autoSpaceDE w:val="0"/>
      <w:autoSpaceDN w:val="0"/>
      <w:adjustRightInd w:val="0"/>
      <w:snapToGrid w:val="0"/>
      <w:jc w:val="left"/>
      <w:textAlignment w:val="baseline"/>
    </w:pPr>
    <w:rPr>
      <w:rFonts w:ascii="Times New Roman" w:eastAsia="宋体" w:hAnsi="Times New Roman" w:cs="Times New Roman"/>
      <w:color w:val="000000"/>
      <w:kern w:val="0"/>
      <w:szCs w:val="21"/>
    </w:rPr>
  </w:style>
  <w:style w:type="table" w:customStyle="1" w:styleId="TableNormal">
    <w:name w:val="Table Normal"/>
    <w:basedOn w:val="a1"/>
    <w:qFormat/>
    <w:rsid w:val="00CA215F"/>
    <w:rPr>
      <w:rFonts w:eastAsia="Times New Roman"/>
    </w:rPr>
    <w:tblPr>
      <w:tblInd w:w="0" w:type="dxa"/>
      <w:tblCellMar>
        <w:top w:w="0" w:type="dxa"/>
        <w:left w:w="0" w:type="dxa"/>
        <w:bottom w:w="0" w:type="dxa"/>
        <w:right w:w="0" w:type="dxa"/>
      </w:tblCellMar>
    </w:tblPr>
  </w:style>
  <w:style w:type="character" w:customStyle="1" w:styleId="Char1">
    <w:name w:val="页眉 Char"/>
    <w:basedOn w:val="a0"/>
    <w:link w:val="a5"/>
    <w:uiPriority w:val="99"/>
    <w:qFormat/>
    <w:rsid w:val="00CA215F"/>
    <w:rPr>
      <w:sz w:val="18"/>
      <w:szCs w:val="18"/>
    </w:rPr>
  </w:style>
  <w:style w:type="character" w:customStyle="1" w:styleId="Char0">
    <w:name w:val="页脚 Char"/>
    <w:basedOn w:val="a0"/>
    <w:link w:val="a4"/>
    <w:uiPriority w:val="99"/>
    <w:rsid w:val="00CA215F"/>
    <w:rPr>
      <w:sz w:val="18"/>
      <w:szCs w:val="18"/>
    </w:rPr>
  </w:style>
  <w:style w:type="paragraph" w:customStyle="1" w:styleId="1">
    <w:name w:val="修订1"/>
    <w:hidden/>
    <w:uiPriority w:val="99"/>
    <w:semiHidden/>
    <w:qFormat/>
    <w:rsid w:val="00CA215F"/>
    <w:rPr>
      <w:rFonts w:asciiTheme="minorHAnsi" w:eastAsiaTheme="minorEastAsia" w:hAnsiTheme="minorHAnsi" w:cstheme="minorBidi"/>
      <w:kern w:val="2"/>
      <w:sz w:val="21"/>
      <w:szCs w:val="22"/>
    </w:rPr>
  </w:style>
  <w:style w:type="character" w:customStyle="1" w:styleId="Char">
    <w:name w:val="批注文字 Char"/>
    <w:basedOn w:val="a0"/>
    <w:link w:val="a3"/>
    <w:uiPriority w:val="99"/>
    <w:qFormat/>
    <w:rsid w:val="00CA215F"/>
    <w:rPr>
      <w:kern w:val="2"/>
      <w:sz w:val="21"/>
      <w:szCs w:val="22"/>
    </w:rPr>
  </w:style>
  <w:style w:type="character" w:customStyle="1" w:styleId="Char2">
    <w:name w:val="批注主题 Char"/>
    <w:basedOn w:val="Char"/>
    <w:link w:val="a6"/>
    <w:uiPriority w:val="99"/>
    <w:semiHidden/>
    <w:qFormat/>
    <w:rsid w:val="00CA215F"/>
    <w:rPr>
      <w:b/>
      <w:bCs/>
      <w:kern w:val="2"/>
      <w:sz w:val="21"/>
      <w:szCs w:val="22"/>
    </w:rPr>
  </w:style>
  <w:style w:type="paragraph" w:customStyle="1" w:styleId="2">
    <w:name w:val="修订2"/>
    <w:hidden/>
    <w:uiPriority w:val="99"/>
    <w:unhideWhenUsed/>
    <w:rsid w:val="00CA215F"/>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5C16-DD39-44D4-BA19-A54CAFFE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969</Characters>
  <Application>Microsoft Office Word</Application>
  <DocSecurity>4</DocSecurity>
  <Lines>8</Lines>
  <Paragraphs>2</Paragraphs>
  <ScaleCrop>false</ScaleCrop>
  <Company>CNSTOCK</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赵恒</dc:creator>
  <cp:lastModifiedBy>ZHONGM</cp:lastModifiedBy>
  <cp:revision>2</cp:revision>
  <dcterms:created xsi:type="dcterms:W3CDTF">2025-08-05T16:00:00Z</dcterms:created>
  <dcterms:modified xsi:type="dcterms:W3CDTF">2025-08-05T16:00:00Z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eyJoZGlkIjoiYjM3YmRmOGNhNjUxYTBhZGFjZThjODA3MjQ5MzZmZmIiLCJ1c2VySWQiOiIxNjg1NDU4NjUzIn0=</vt:lpwstr>
  </property>
  <property fmtid="{D5CDD505-2E9C-101B-9397-08002B2CF9AE}" pid="3" name="KSOProductBuildVer">
    <vt:lpwstr>2052-12.1.0.20305</vt:lpwstr>
  </property>
  <property fmtid="{D5CDD505-2E9C-101B-9397-08002B2CF9AE}" pid="4" name="ICV">
    <vt:lpwstr>AE072048873B46A38231E12052BA2A5A_13</vt:lpwstr>
  </property>
</Properties>
</file>