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1E" w:rsidRDefault="0087087C" w:rsidP="00032D1E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bookmarkStart w:id="0" w:name="_Toc249760023"/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易方达纳斯达克</w:t>
      </w:r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100</w:t>
      </w:r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交易型开放式指数证券投资基金联接基金（</w:t>
      </w:r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LOF</w:t>
      </w:r>
      <w:r w:rsidRPr="00E7093F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）</w:t>
      </w:r>
      <w:r w:rsidRPr="00233409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调整大额申购业务限制的公告</w:t>
      </w:r>
    </w:p>
    <w:p w:rsidR="00ED413D" w:rsidRPr="00330500" w:rsidRDefault="0087087C" w:rsidP="00ED413D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  <w:r w:rsidRPr="00330500">
        <w:rPr>
          <w:rFonts w:asciiTheme="minorEastAsia" w:eastAsiaTheme="minorEastAsia" w:hAnsiTheme="minorEastAsia" w:hint="eastAsia"/>
          <w:b/>
          <w:sz w:val="24"/>
        </w:rPr>
        <w:t>公告</w:t>
      </w:r>
      <w:r w:rsidRPr="00330500">
        <w:rPr>
          <w:rFonts w:asciiTheme="minorEastAsia" w:eastAsiaTheme="minorEastAsia" w:hAnsiTheme="minorEastAsia"/>
          <w:b/>
          <w:sz w:val="24"/>
        </w:rPr>
        <w:t>送出日期：</w:t>
      </w:r>
      <w:r w:rsidR="00D61440" w:rsidRPr="00330500">
        <w:rPr>
          <w:rFonts w:asciiTheme="minorEastAsia" w:eastAsiaTheme="minorEastAsia" w:hAnsiTheme="minorEastAsia" w:hint="eastAsia"/>
          <w:b/>
          <w:sz w:val="24"/>
        </w:rPr>
        <w:t>202</w:t>
      </w:r>
      <w:r w:rsidR="00D61440">
        <w:rPr>
          <w:rFonts w:asciiTheme="minorEastAsia" w:eastAsiaTheme="minorEastAsia" w:hAnsiTheme="minorEastAsia"/>
          <w:b/>
          <w:sz w:val="24"/>
        </w:rPr>
        <w:t>5</w:t>
      </w:r>
      <w:r w:rsidRPr="00330500">
        <w:rPr>
          <w:rFonts w:asciiTheme="minorEastAsia" w:eastAsiaTheme="minorEastAsia" w:hAnsiTheme="minorEastAsia" w:hint="eastAsia"/>
          <w:b/>
          <w:sz w:val="24"/>
        </w:rPr>
        <w:t>年</w:t>
      </w:r>
      <w:r w:rsidR="00EC157D">
        <w:rPr>
          <w:rFonts w:asciiTheme="minorEastAsia" w:eastAsiaTheme="minorEastAsia" w:hAnsiTheme="minorEastAsia" w:hint="eastAsia"/>
          <w:b/>
          <w:sz w:val="24"/>
        </w:rPr>
        <w:t>8</w:t>
      </w:r>
      <w:r w:rsidRPr="00330500">
        <w:rPr>
          <w:rFonts w:asciiTheme="minorEastAsia" w:eastAsiaTheme="minorEastAsia" w:hAnsiTheme="minorEastAsia" w:hint="eastAsia"/>
          <w:b/>
          <w:sz w:val="24"/>
        </w:rPr>
        <w:t>月</w:t>
      </w:r>
      <w:r w:rsidR="00EC157D">
        <w:rPr>
          <w:rFonts w:asciiTheme="minorEastAsia" w:eastAsiaTheme="minorEastAsia" w:hAnsiTheme="minorEastAsia" w:hint="eastAsia"/>
          <w:b/>
          <w:sz w:val="24"/>
        </w:rPr>
        <w:t>1</w:t>
      </w:r>
      <w:r w:rsidRPr="00330500">
        <w:rPr>
          <w:rFonts w:asciiTheme="minorEastAsia" w:eastAsiaTheme="minorEastAsia" w:hAnsiTheme="minorEastAsia" w:hint="eastAsia"/>
          <w:b/>
          <w:sz w:val="24"/>
        </w:rPr>
        <w:t>日</w:t>
      </w:r>
    </w:p>
    <w:p w:rsidR="00ED413D" w:rsidRPr="00330500" w:rsidRDefault="0087087C" w:rsidP="00ED413D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bCs w:val="0"/>
          <w:sz w:val="24"/>
          <w:szCs w:val="24"/>
        </w:rPr>
      </w:pPr>
      <w:r w:rsidRPr="00330500">
        <w:rPr>
          <w:rFonts w:asciiTheme="minorEastAsia" w:eastAsiaTheme="minorEastAsia" w:hAnsiTheme="minorEastAsia" w:hint="eastAsia"/>
          <w:bCs w:val="0"/>
          <w:sz w:val="24"/>
          <w:szCs w:val="24"/>
        </w:rPr>
        <w:t>1.</w:t>
      </w:r>
      <w:r w:rsidRPr="00330500">
        <w:rPr>
          <w:rFonts w:asciiTheme="minorEastAsia" w:eastAsiaTheme="minorEastAsia" w:hAnsiTheme="minorEastAsia" w:hint="eastAsia"/>
          <w:bCs w:val="0"/>
          <w:sz w:val="24"/>
          <w:szCs w:val="24"/>
        </w:rPr>
        <w:t>公告基本信息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468"/>
        <w:gridCol w:w="3062"/>
        <w:gridCol w:w="2998"/>
      </w:tblGrid>
      <w:tr w:rsidR="005C3119" w:rsidTr="00F965DA">
        <w:trPr>
          <w:trHeight w:val="320"/>
        </w:trPr>
        <w:tc>
          <w:tcPr>
            <w:tcW w:w="1447" w:type="pct"/>
            <w:shd w:val="clear" w:color="auto" w:fill="auto"/>
            <w:vAlign w:val="center"/>
            <w:hideMark/>
          </w:tcPr>
          <w:p w:rsidR="00ED413D" w:rsidRPr="00330500" w:rsidRDefault="0087087C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3553" w:type="pct"/>
            <w:gridSpan w:val="2"/>
            <w:shd w:val="clear" w:color="auto" w:fill="auto"/>
            <w:vAlign w:val="center"/>
            <w:hideMark/>
          </w:tcPr>
          <w:p w:rsidR="00ED413D" w:rsidRPr="00330500" w:rsidRDefault="0087087C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易方达纳斯达克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交易型开放式指数证券投资基金联接基金（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LOF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5C3119" w:rsidTr="00F965DA">
        <w:trPr>
          <w:trHeight w:val="320"/>
        </w:trPr>
        <w:tc>
          <w:tcPr>
            <w:tcW w:w="1447" w:type="pct"/>
            <w:shd w:val="clear" w:color="auto" w:fill="auto"/>
            <w:vAlign w:val="center"/>
            <w:hideMark/>
          </w:tcPr>
          <w:p w:rsidR="00ED413D" w:rsidRPr="00330500" w:rsidRDefault="0087087C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3553" w:type="pct"/>
            <w:gridSpan w:val="2"/>
            <w:shd w:val="clear" w:color="auto" w:fill="auto"/>
            <w:vAlign w:val="center"/>
            <w:hideMark/>
          </w:tcPr>
          <w:p w:rsidR="00ED413D" w:rsidRPr="00330500" w:rsidRDefault="0087087C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易方达纳斯达克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100ETF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联接（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QDII-LOF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5C3119" w:rsidTr="00F965DA">
        <w:trPr>
          <w:trHeight w:val="320"/>
        </w:trPr>
        <w:tc>
          <w:tcPr>
            <w:tcW w:w="1447" w:type="pct"/>
            <w:shd w:val="clear" w:color="auto" w:fill="auto"/>
            <w:vAlign w:val="center"/>
            <w:hideMark/>
          </w:tcPr>
          <w:p w:rsidR="00ED413D" w:rsidRPr="00330500" w:rsidRDefault="0087087C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3553" w:type="pct"/>
            <w:gridSpan w:val="2"/>
            <w:shd w:val="clear" w:color="auto" w:fill="auto"/>
            <w:vAlign w:val="center"/>
            <w:hideMark/>
          </w:tcPr>
          <w:p w:rsidR="00ED413D" w:rsidRPr="00330500" w:rsidRDefault="0087087C" w:rsidP="003C121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161130</w:t>
            </w:r>
          </w:p>
        </w:tc>
      </w:tr>
      <w:tr w:rsidR="005C3119" w:rsidTr="00F965DA">
        <w:trPr>
          <w:trHeight w:val="310"/>
        </w:trPr>
        <w:tc>
          <w:tcPr>
            <w:tcW w:w="1447" w:type="pct"/>
            <w:shd w:val="clear" w:color="auto" w:fill="auto"/>
            <w:vAlign w:val="center"/>
            <w:hideMark/>
          </w:tcPr>
          <w:p w:rsidR="00ED413D" w:rsidRPr="00330500" w:rsidRDefault="0087087C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3553" w:type="pct"/>
            <w:gridSpan w:val="2"/>
            <w:shd w:val="clear" w:color="auto" w:fill="auto"/>
            <w:vAlign w:val="center"/>
            <w:hideMark/>
          </w:tcPr>
          <w:p w:rsidR="00ED413D" w:rsidRPr="00330500" w:rsidRDefault="0087087C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易方达基金管理有限公司</w:t>
            </w:r>
          </w:p>
        </w:tc>
      </w:tr>
      <w:tr w:rsidR="005C3119" w:rsidTr="00F965DA">
        <w:trPr>
          <w:trHeight w:val="940"/>
        </w:trPr>
        <w:tc>
          <w:tcPr>
            <w:tcW w:w="1447" w:type="pct"/>
            <w:shd w:val="clear" w:color="auto" w:fill="auto"/>
            <w:vAlign w:val="center"/>
            <w:hideMark/>
          </w:tcPr>
          <w:p w:rsidR="00ED413D" w:rsidRPr="00330500" w:rsidRDefault="0087087C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3553" w:type="pct"/>
            <w:gridSpan w:val="2"/>
            <w:shd w:val="clear" w:color="auto" w:fill="auto"/>
            <w:vAlign w:val="center"/>
            <w:hideMark/>
          </w:tcPr>
          <w:p w:rsidR="00ED413D" w:rsidRPr="00330500" w:rsidRDefault="0087087C" w:rsidP="0016002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《易方达纳斯达克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交易型开放式指数证券投资基金联接基金（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LOF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）基金合同》《易方达纳斯达克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100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交易型开放式指数证券投资基金联接基金（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LOF</w:t>
            </w:r>
            <w:r w:rsidRPr="00E7093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）更新的招募说明书》</w:t>
            </w:r>
          </w:p>
        </w:tc>
      </w:tr>
      <w:tr w:rsidR="005C3119" w:rsidTr="00F965DA">
        <w:trPr>
          <w:trHeight w:val="320"/>
        </w:trPr>
        <w:tc>
          <w:tcPr>
            <w:tcW w:w="1447" w:type="pct"/>
            <w:vMerge w:val="restart"/>
            <w:shd w:val="clear" w:color="auto" w:fill="auto"/>
            <w:vAlign w:val="center"/>
            <w:hideMark/>
          </w:tcPr>
          <w:p w:rsidR="00ED413D" w:rsidRPr="00330500" w:rsidRDefault="0087087C" w:rsidP="003C121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暂停相关业务的起始日、金额及原因说明</w:t>
            </w:r>
          </w:p>
        </w:tc>
        <w:tc>
          <w:tcPr>
            <w:tcW w:w="1795" w:type="pct"/>
            <w:shd w:val="clear" w:color="auto" w:fill="auto"/>
            <w:vAlign w:val="center"/>
            <w:hideMark/>
          </w:tcPr>
          <w:p w:rsidR="00ED413D" w:rsidRPr="00330500" w:rsidRDefault="0087087C" w:rsidP="003C121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暂停大额申购起始日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:rsidR="00ED413D" w:rsidRPr="00330500" w:rsidRDefault="0087087C" w:rsidP="00E50507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/>
                <w:sz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</w:rPr>
              <w:t>5</w:t>
            </w:r>
            <w:r w:rsidRPr="00330500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="00060E9A" w:rsidRPr="00330500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060E9A" w:rsidRPr="00330500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5C3119" w:rsidTr="00F965DA">
        <w:trPr>
          <w:trHeight w:val="133"/>
        </w:trPr>
        <w:tc>
          <w:tcPr>
            <w:tcW w:w="1447" w:type="pct"/>
            <w:vMerge/>
            <w:vAlign w:val="center"/>
            <w:hideMark/>
          </w:tcPr>
          <w:p w:rsidR="00ED413D" w:rsidRPr="00330500" w:rsidRDefault="00ED413D" w:rsidP="003C12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pct"/>
            <w:shd w:val="clear" w:color="auto" w:fill="auto"/>
            <w:hideMark/>
          </w:tcPr>
          <w:p w:rsidR="00ED413D" w:rsidRPr="00330500" w:rsidRDefault="0087087C" w:rsidP="00F965D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sz w:val="24"/>
              </w:rPr>
              <w:t>暂停大额申购的原因说明</w:t>
            </w:r>
          </w:p>
        </w:tc>
        <w:tc>
          <w:tcPr>
            <w:tcW w:w="1758" w:type="pct"/>
            <w:shd w:val="clear" w:color="auto" w:fill="auto"/>
            <w:hideMark/>
          </w:tcPr>
          <w:p w:rsidR="00ED413D" w:rsidRPr="00330500" w:rsidRDefault="0087087C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为了基金的平稳运作</w:t>
            </w:r>
          </w:p>
        </w:tc>
      </w:tr>
      <w:tr w:rsidR="005C3119" w:rsidTr="00F965DA">
        <w:trPr>
          <w:trHeight w:val="133"/>
        </w:trPr>
        <w:tc>
          <w:tcPr>
            <w:tcW w:w="1447" w:type="pct"/>
            <w:vAlign w:val="center"/>
          </w:tcPr>
          <w:p w:rsidR="0063625C" w:rsidRPr="00330500" w:rsidRDefault="0087087C" w:rsidP="0063625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sz w:val="24"/>
              </w:rPr>
              <w:t>下属分级基金的基金简称</w:t>
            </w:r>
          </w:p>
        </w:tc>
        <w:tc>
          <w:tcPr>
            <w:tcW w:w="1795" w:type="pct"/>
            <w:shd w:val="clear" w:color="auto" w:fill="auto"/>
          </w:tcPr>
          <w:p w:rsidR="0063625C" w:rsidRPr="00330500" w:rsidRDefault="0087087C" w:rsidP="0063625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易方达纳斯达克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100ETF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联接（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QDII-LOF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）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A</w:t>
            </w:r>
          </w:p>
        </w:tc>
        <w:tc>
          <w:tcPr>
            <w:tcW w:w="1758" w:type="pct"/>
            <w:shd w:val="clear" w:color="auto" w:fill="auto"/>
          </w:tcPr>
          <w:p w:rsidR="0063625C" w:rsidRPr="00330500" w:rsidRDefault="0087087C" w:rsidP="0063625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易方达纳斯达克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100ETF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联接（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QDII-LOF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）</w:t>
            </w:r>
            <w:r w:rsidRPr="00E7093F">
              <w:rPr>
                <w:rFonts w:asciiTheme="minorEastAsia" w:eastAsiaTheme="minorEastAsia" w:hAnsiTheme="minorEastAsia" w:hint="eastAsia"/>
                <w:kern w:val="0"/>
                <w:sz w:val="24"/>
              </w:rPr>
              <w:t>C</w:t>
            </w:r>
          </w:p>
        </w:tc>
      </w:tr>
      <w:tr w:rsidR="005C3119" w:rsidTr="00F965DA">
        <w:trPr>
          <w:trHeight w:val="133"/>
        </w:trPr>
        <w:tc>
          <w:tcPr>
            <w:tcW w:w="1447" w:type="pct"/>
            <w:vAlign w:val="center"/>
          </w:tcPr>
          <w:p w:rsidR="0063625C" w:rsidRPr="00330500" w:rsidRDefault="0087087C" w:rsidP="00F965D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sz w:val="24"/>
              </w:rPr>
              <w:t>下属分级基金的交易代码</w:t>
            </w:r>
          </w:p>
        </w:tc>
        <w:tc>
          <w:tcPr>
            <w:tcW w:w="1795" w:type="pct"/>
            <w:shd w:val="clear" w:color="auto" w:fill="auto"/>
          </w:tcPr>
          <w:p w:rsidR="0063625C" w:rsidRPr="00330500" w:rsidRDefault="0087087C" w:rsidP="00F965DA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kern w:val="0"/>
                <w:sz w:val="24"/>
              </w:rPr>
              <w:t>161130</w:t>
            </w:r>
          </w:p>
        </w:tc>
        <w:tc>
          <w:tcPr>
            <w:tcW w:w="1758" w:type="pct"/>
            <w:shd w:val="clear" w:color="auto" w:fill="auto"/>
          </w:tcPr>
          <w:p w:rsidR="0063625C" w:rsidRPr="00330500" w:rsidRDefault="0087087C" w:rsidP="00F965DA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kern w:val="0"/>
                <w:sz w:val="24"/>
              </w:rPr>
              <w:t>012870</w:t>
            </w:r>
          </w:p>
        </w:tc>
      </w:tr>
      <w:tr w:rsidR="005C3119" w:rsidTr="00F965DA">
        <w:trPr>
          <w:trHeight w:val="133"/>
        </w:trPr>
        <w:tc>
          <w:tcPr>
            <w:tcW w:w="1447" w:type="pct"/>
          </w:tcPr>
          <w:p w:rsidR="0063625C" w:rsidRPr="00330500" w:rsidRDefault="0087087C" w:rsidP="00F965D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sz w:val="24"/>
              </w:rPr>
              <w:t>该分级基金是否暂停大额申购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63625C" w:rsidRPr="00330500" w:rsidRDefault="0087087C" w:rsidP="00F965D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sz w:val="24"/>
              </w:rPr>
              <w:t>是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63625C" w:rsidRPr="00330500" w:rsidRDefault="0087087C" w:rsidP="00F965D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30500">
              <w:rPr>
                <w:rFonts w:asciiTheme="minorEastAsia" w:eastAsiaTheme="minorEastAsia" w:hAnsiTheme="minorEastAsia" w:hint="eastAsia"/>
                <w:sz w:val="24"/>
              </w:rPr>
              <w:t>是</w:t>
            </w:r>
          </w:p>
        </w:tc>
      </w:tr>
      <w:tr w:rsidR="005C3119" w:rsidTr="00F965DA">
        <w:trPr>
          <w:trHeight w:val="133"/>
        </w:trPr>
        <w:tc>
          <w:tcPr>
            <w:tcW w:w="1447" w:type="pct"/>
            <w:vAlign w:val="center"/>
          </w:tcPr>
          <w:p w:rsidR="0063625C" w:rsidRPr="00330500" w:rsidRDefault="0087087C" w:rsidP="00F965D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3050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下属分级基金的限制申购金额（单位：人民币元）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63625C" w:rsidRPr="00330500" w:rsidRDefault="0087087C" w:rsidP="00F965D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3</w:t>
            </w:r>
            <w:r w:rsidRPr="0033050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</w:t>
            </w:r>
            <w:r w:rsidRPr="0033050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</w:t>
            </w:r>
            <w:r w:rsidR="00060E9A" w:rsidRPr="0033050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.00</w:t>
            </w:r>
          </w:p>
        </w:tc>
        <w:tc>
          <w:tcPr>
            <w:tcW w:w="1758" w:type="pct"/>
            <w:shd w:val="clear" w:color="auto" w:fill="auto"/>
            <w:vAlign w:val="center"/>
          </w:tcPr>
          <w:p w:rsidR="0063625C" w:rsidRPr="00330500" w:rsidRDefault="0087087C" w:rsidP="00F965DA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3</w:t>
            </w:r>
            <w:r w:rsidRPr="0033050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</w:t>
            </w:r>
            <w:r w:rsidRPr="0033050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0</w:t>
            </w:r>
            <w:r w:rsidR="00060E9A" w:rsidRPr="00330500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.00</w:t>
            </w:r>
          </w:p>
        </w:tc>
      </w:tr>
    </w:tbl>
    <w:p w:rsidR="00ED413D" w:rsidRPr="00330500" w:rsidRDefault="0087087C" w:rsidP="00ED413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sz w:val="24"/>
        </w:rPr>
        <w:t>注</w:t>
      </w:r>
      <w:r w:rsidRPr="00330500">
        <w:rPr>
          <w:rFonts w:asciiTheme="minorEastAsia" w:eastAsiaTheme="minorEastAsia" w:hAnsiTheme="minorEastAsia"/>
          <w:sz w:val="24"/>
        </w:rPr>
        <w:t>：（</w:t>
      </w:r>
      <w:r w:rsidRPr="00330500">
        <w:rPr>
          <w:rFonts w:asciiTheme="minorEastAsia" w:eastAsiaTheme="minorEastAsia" w:hAnsiTheme="minorEastAsia"/>
          <w:sz w:val="24"/>
        </w:rPr>
        <w:t>1</w:t>
      </w:r>
      <w:r w:rsidRPr="00330500">
        <w:rPr>
          <w:rFonts w:asciiTheme="minorEastAsia" w:eastAsiaTheme="minorEastAsia" w:hAnsiTheme="minorEastAsia"/>
          <w:sz w:val="24"/>
        </w:rPr>
        <w:t>）</w:t>
      </w:r>
      <w:r w:rsidR="00E7093F" w:rsidRPr="00E7093F">
        <w:rPr>
          <w:rFonts w:asciiTheme="minorEastAsia" w:eastAsiaTheme="minorEastAsia" w:hAnsiTheme="minorEastAsia" w:hint="eastAsia"/>
          <w:sz w:val="24"/>
        </w:rPr>
        <w:t>易方达纳斯达克100交易型开放式指数证券投资基金联接基金（LOF）</w:t>
      </w:r>
      <w:r w:rsidRPr="00330500">
        <w:rPr>
          <w:rFonts w:asciiTheme="minorEastAsia" w:eastAsiaTheme="minorEastAsia" w:hAnsiTheme="minorEastAsia" w:hint="eastAsia"/>
          <w:sz w:val="24"/>
        </w:rPr>
        <w:t>（以下简称“本基金”）</w:t>
      </w:r>
      <w:r w:rsidR="0063625C" w:rsidRPr="00330500">
        <w:rPr>
          <w:rFonts w:asciiTheme="minorEastAsia" w:eastAsiaTheme="minorEastAsia" w:hAnsiTheme="minorEastAsia" w:hint="eastAsia"/>
          <w:sz w:val="24"/>
        </w:rPr>
        <w:t>A类</w:t>
      </w:r>
      <w:r w:rsidRPr="00330500">
        <w:rPr>
          <w:rFonts w:asciiTheme="minorEastAsia" w:eastAsiaTheme="minorEastAsia" w:hAnsiTheme="minorEastAsia" w:hint="eastAsia"/>
          <w:sz w:val="24"/>
        </w:rPr>
        <w:t>人民币份额场内</w:t>
      </w:r>
      <w:r w:rsidRPr="00330500">
        <w:rPr>
          <w:rFonts w:asciiTheme="minorEastAsia" w:eastAsiaTheme="minorEastAsia" w:hAnsiTheme="minorEastAsia"/>
          <w:sz w:val="24"/>
        </w:rPr>
        <w:t>简称为</w:t>
      </w:r>
      <w:r w:rsidR="0020576C" w:rsidRPr="0020576C">
        <w:rPr>
          <w:rFonts w:asciiTheme="minorEastAsia" w:eastAsiaTheme="minorEastAsia" w:hAnsiTheme="minorEastAsia" w:hint="eastAsia"/>
          <w:sz w:val="24"/>
        </w:rPr>
        <w:t>纳斯达克100LOF</w:t>
      </w:r>
      <w:r w:rsidRPr="00330500">
        <w:rPr>
          <w:rFonts w:asciiTheme="minorEastAsia" w:eastAsiaTheme="minorEastAsia" w:hAnsiTheme="minorEastAsia" w:hint="eastAsia"/>
          <w:sz w:val="24"/>
        </w:rPr>
        <w:t>，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本次</w:t>
      </w:r>
      <w:r w:rsidR="00032D1E">
        <w:rPr>
          <w:rFonts w:asciiTheme="minorEastAsia" w:eastAsiaTheme="minorEastAsia" w:hAnsiTheme="minorEastAsia" w:hint="eastAsia"/>
          <w:color w:val="000000"/>
          <w:sz w:val="24"/>
        </w:rPr>
        <w:t>调整大额申购业务</w:t>
      </w:r>
      <w:r w:rsidR="0053692A">
        <w:rPr>
          <w:rFonts w:asciiTheme="minorEastAsia" w:eastAsiaTheme="minorEastAsia" w:hAnsiTheme="minorEastAsia" w:hint="eastAsia"/>
          <w:color w:val="000000"/>
          <w:sz w:val="24"/>
        </w:rPr>
        <w:t>限制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针对本基金所有基金份额类别（</w:t>
      </w:r>
      <w:r w:rsidR="0063625C" w:rsidRPr="00330500">
        <w:rPr>
          <w:rFonts w:asciiTheme="minorEastAsia" w:eastAsiaTheme="minorEastAsia" w:hAnsiTheme="minorEastAsia" w:hint="eastAsia"/>
          <w:color w:val="000000"/>
          <w:sz w:val="24"/>
        </w:rPr>
        <w:t>A类人民币份额基金代码为</w:t>
      </w:r>
      <w:r w:rsidR="0063625C" w:rsidRPr="00330500">
        <w:rPr>
          <w:rFonts w:asciiTheme="minorEastAsia" w:eastAsiaTheme="minorEastAsia" w:hAnsiTheme="minorEastAsia"/>
          <w:color w:val="000000"/>
          <w:sz w:val="24"/>
        </w:rPr>
        <w:t>161130</w:t>
      </w:r>
      <w:r w:rsidR="0063625C" w:rsidRPr="00330500">
        <w:rPr>
          <w:rFonts w:asciiTheme="minorEastAsia" w:eastAsiaTheme="minorEastAsia" w:hAnsiTheme="minorEastAsia" w:hint="eastAsia"/>
          <w:color w:val="000000"/>
          <w:sz w:val="24"/>
        </w:rPr>
        <w:t>，</w:t>
      </w:r>
      <w:r w:rsidR="0063625C" w:rsidRPr="00330500">
        <w:rPr>
          <w:rFonts w:asciiTheme="minorEastAsia" w:eastAsiaTheme="minorEastAsia" w:hAnsiTheme="minorEastAsia"/>
          <w:color w:val="000000"/>
          <w:sz w:val="24"/>
        </w:rPr>
        <w:t>C</w:t>
      </w:r>
      <w:r w:rsidR="0063625C" w:rsidRPr="00330500">
        <w:rPr>
          <w:rFonts w:asciiTheme="minorEastAsia" w:eastAsiaTheme="minorEastAsia" w:hAnsiTheme="minorEastAsia" w:hint="eastAsia"/>
          <w:color w:val="000000"/>
          <w:sz w:val="24"/>
        </w:rPr>
        <w:t>类人民币份额基金代码为</w:t>
      </w:r>
      <w:r w:rsidR="0063625C" w:rsidRPr="00330500">
        <w:rPr>
          <w:rFonts w:asciiTheme="minorEastAsia" w:eastAsiaTheme="minorEastAsia" w:hAnsiTheme="minorEastAsia"/>
          <w:color w:val="000000"/>
          <w:sz w:val="24"/>
        </w:rPr>
        <w:t>012870</w:t>
      </w:r>
      <w:r w:rsidR="0063625C" w:rsidRPr="00330500">
        <w:rPr>
          <w:rFonts w:asciiTheme="minorEastAsia" w:eastAsiaTheme="minorEastAsia" w:hAnsiTheme="minorEastAsia" w:hint="eastAsia"/>
          <w:color w:val="000000"/>
          <w:sz w:val="24"/>
        </w:rPr>
        <w:t>，A类美元份额基金代码为</w:t>
      </w:r>
      <w:r w:rsidR="0063625C" w:rsidRPr="00330500">
        <w:rPr>
          <w:rFonts w:asciiTheme="minorEastAsia" w:eastAsiaTheme="minorEastAsia" w:hAnsiTheme="minorEastAsia"/>
          <w:color w:val="000000"/>
          <w:sz w:val="24"/>
        </w:rPr>
        <w:t>003722</w:t>
      </w:r>
      <w:r w:rsidR="00F965DA" w:rsidRPr="00330500">
        <w:rPr>
          <w:rFonts w:asciiTheme="minorEastAsia" w:eastAsiaTheme="minorEastAsia" w:hAnsiTheme="minorEastAsia"/>
          <w:color w:val="000000"/>
          <w:sz w:val="24"/>
        </w:rPr>
        <w:t>，</w:t>
      </w:r>
      <w:r w:rsidR="0063625C" w:rsidRPr="00330500">
        <w:rPr>
          <w:rFonts w:asciiTheme="minorEastAsia" w:eastAsiaTheme="minorEastAsia" w:hAnsiTheme="minorEastAsia"/>
          <w:color w:val="000000"/>
          <w:sz w:val="24"/>
        </w:rPr>
        <w:t>C</w:t>
      </w:r>
      <w:r w:rsidR="0063625C" w:rsidRPr="00330500">
        <w:rPr>
          <w:rFonts w:asciiTheme="minorEastAsia" w:eastAsiaTheme="minorEastAsia" w:hAnsiTheme="minorEastAsia" w:hint="eastAsia"/>
          <w:color w:val="000000"/>
          <w:sz w:val="24"/>
        </w:rPr>
        <w:t>类美元份额基金代码为</w:t>
      </w:r>
      <w:r w:rsidR="0063625C" w:rsidRPr="00330500">
        <w:rPr>
          <w:rFonts w:asciiTheme="minorEastAsia" w:eastAsiaTheme="minorEastAsia" w:hAnsiTheme="minorEastAsia"/>
          <w:color w:val="000000"/>
          <w:sz w:val="24"/>
        </w:rPr>
        <w:t>012871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264E9A" w:rsidRPr="00330500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ED413D" w:rsidRPr="00330500" w:rsidRDefault="0087087C" w:rsidP="00ED413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/>
          <w:color w:val="000000"/>
          <w:sz w:val="24"/>
        </w:rPr>
        <w:t>（</w:t>
      </w:r>
      <w:r w:rsidRPr="00330500">
        <w:rPr>
          <w:rFonts w:asciiTheme="minorEastAsia" w:eastAsiaTheme="minorEastAsia" w:hAnsiTheme="minorEastAsia"/>
          <w:color w:val="000000"/>
          <w:sz w:val="24"/>
        </w:rPr>
        <w:t>2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）根据法律法规及基金法律文件的相关规定，</w:t>
      </w:r>
      <w:r w:rsidR="00A7087E" w:rsidRPr="00330500">
        <w:rPr>
          <w:rFonts w:asciiTheme="minorEastAsia" w:eastAsiaTheme="minorEastAsia" w:hAnsiTheme="minorEastAsia" w:hint="eastAsia"/>
          <w:kern w:val="0"/>
          <w:sz w:val="24"/>
        </w:rPr>
        <w:t>易方达基金管理有限公司决定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自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202</w:t>
      </w:r>
      <w:r w:rsidR="00EC157D">
        <w:rPr>
          <w:rFonts w:asciiTheme="minorEastAsia" w:eastAsiaTheme="minorEastAsia" w:hAnsiTheme="minorEastAsia"/>
          <w:color w:val="000000"/>
          <w:sz w:val="24"/>
        </w:rPr>
        <w:t>5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8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日起</w:t>
      </w:r>
      <w:r w:rsidR="00032D1E">
        <w:rPr>
          <w:rFonts w:asciiTheme="minorEastAsia" w:eastAsiaTheme="minorEastAsia" w:hAnsiTheme="minorEastAsia" w:hint="eastAsia"/>
          <w:color w:val="000000"/>
          <w:sz w:val="24"/>
        </w:rPr>
        <w:t>调整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本基金</w:t>
      </w:r>
      <w:r w:rsidR="00235A57" w:rsidRPr="00330500">
        <w:rPr>
          <w:rFonts w:asciiTheme="minorEastAsia" w:eastAsiaTheme="minorEastAsia" w:hAnsiTheme="minorEastAsia" w:hint="eastAsia"/>
          <w:color w:val="000000"/>
          <w:sz w:val="24"/>
        </w:rPr>
        <w:t>人民币份额和美元份额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在全部销售机构的大额申购业务</w:t>
      </w:r>
      <w:r w:rsidR="0053692A">
        <w:rPr>
          <w:rFonts w:asciiTheme="minorEastAsia" w:eastAsiaTheme="minorEastAsia" w:hAnsiTheme="minorEastAsia" w:hint="eastAsia"/>
          <w:color w:val="000000"/>
          <w:sz w:val="24"/>
        </w:rPr>
        <w:t>限制</w:t>
      </w:r>
      <w:r w:rsidR="00264E9A" w:rsidRPr="00330500">
        <w:rPr>
          <w:rFonts w:asciiTheme="minorEastAsia" w:eastAsiaTheme="minorEastAsia" w:hAnsiTheme="minorEastAsia"/>
          <w:color w:val="000000"/>
          <w:sz w:val="24"/>
        </w:rPr>
        <w:t>，</w:t>
      </w:r>
      <w:r w:rsidR="00264E9A" w:rsidRPr="00330500">
        <w:rPr>
          <w:rFonts w:asciiTheme="minorEastAsia" w:eastAsiaTheme="minorEastAsia" w:hAnsiTheme="minorEastAsia" w:hint="eastAsia"/>
          <w:color w:val="000000"/>
          <w:sz w:val="24"/>
        </w:rPr>
        <w:t>具体</w:t>
      </w:r>
      <w:r w:rsidR="00032D1E">
        <w:rPr>
          <w:rFonts w:asciiTheme="minorEastAsia" w:eastAsiaTheme="minorEastAsia" w:hAnsiTheme="minorEastAsia" w:hint="eastAsia"/>
          <w:color w:val="000000"/>
          <w:sz w:val="24"/>
        </w:rPr>
        <w:t>调整为</w:t>
      </w:r>
      <w:r w:rsidR="00264E9A" w:rsidRPr="00330500">
        <w:rPr>
          <w:rFonts w:asciiTheme="minorEastAsia" w:eastAsiaTheme="minorEastAsia" w:hAnsiTheme="minorEastAsia" w:hint="eastAsia"/>
          <w:color w:val="000000"/>
          <w:sz w:val="24"/>
        </w:rPr>
        <w:t>：</w:t>
      </w:r>
    </w:p>
    <w:p w:rsidR="0063625C" w:rsidRPr="00330500" w:rsidRDefault="0087087C" w:rsidP="0063625C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/>
          <w:color w:val="000000"/>
          <w:sz w:val="24"/>
        </w:rPr>
        <w:t>1</w:t>
      </w:r>
      <w:r w:rsidRPr="00330500">
        <w:rPr>
          <w:rFonts w:asciiTheme="minorEastAsia" w:eastAsiaTheme="minorEastAsia" w:hAnsiTheme="minorEastAsia"/>
          <w:color w:val="000000"/>
          <w:sz w:val="24"/>
        </w:rPr>
        <w:t>）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对于人民币份额，单日单个基金账户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在</w:t>
      </w:r>
      <w:r>
        <w:rPr>
          <w:rFonts w:asciiTheme="minorEastAsia" w:eastAsiaTheme="minorEastAsia" w:hAnsiTheme="minorEastAsia"/>
          <w:b/>
          <w:color w:val="000000"/>
          <w:sz w:val="24"/>
        </w:rPr>
        <w:t>全部销售机构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累计申购（含定期定额投资，下同）本基金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A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类人民币份额或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C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类人民币份额的金额不超过</w:t>
      </w:r>
      <w:r w:rsidR="00EC157D">
        <w:rPr>
          <w:rFonts w:asciiTheme="minorEastAsia" w:eastAsiaTheme="minorEastAsia" w:hAnsiTheme="minorEastAsia" w:hint="eastAsia"/>
          <w:b/>
          <w:color w:val="000000"/>
          <w:sz w:val="24"/>
        </w:rPr>
        <w:t>3</w:t>
      </w:r>
      <w:r w:rsidR="00D61440">
        <w:rPr>
          <w:rFonts w:asciiTheme="minorEastAsia" w:eastAsiaTheme="minorEastAsia" w:hAnsiTheme="minorEastAsia"/>
          <w:b/>
          <w:color w:val="000000"/>
          <w:sz w:val="24"/>
        </w:rPr>
        <w:t>0</w:t>
      </w:r>
      <w:r w:rsidR="00D61440"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00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元。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如单日单个基金账户单笔申购本基金</w:t>
      </w:r>
      <w:r w:rsidRPr="00330500">
        <w:rPr>
          <w:rFonts w:asciiTheme="minorEastAsia" w:eastAsiaTheme="minorEastAsia" w:hAnsiTheme="minorEastAsia"/>
          <w:color w:val="000000"/>
          <w:sz w:val="24"/>
        </w:rPr>
        <w:t>A</w:t>
      </w:r>
      <w:r w:rsidRPr="00330500">
        <w:rPr>
          <w:rFonts w:asciiTheme="minorEastAsia" w:eastAsiaTheme="minorEastAsia" w:hAnsiTheme="minorEastAsia"/>
          <w:color w:val="000000"/>
          <w:sz w:val="24"/>
        </w:rPr>
        <w:t>类人民币份额或</w:t>
      </w:r>
      <w:r w:rsidRPr="00330500">
        <w:rPr>
          <w:rFonts w:asciiTheme="minorEastAsia" w:eastAsiaTheme="minorEastAsia" w:hAnsiTheme="minorEastAsia"/>
          <w:color w:val="000000"/>
          <w:sz w:val="24"/>
        </w:rPr>
        <w:t>C</w:t>
      </w:r>
      <w:r w:rsidRPr="00330500">
        <w:rPr>
          <w:rFonts w:asciiTheme="minorEastAsia" w:eastAsiaTheme="minorEastAsia" w:hAnsiTheme="minorEastAsia"/>
          <w:color w:val="000000"/>
          <w:sz w:val="24"/>
        </w:rPr>
        <w:t>类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人民币份额的金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lastRenderedPageBreak/>
        <w:t>额超过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="00EC157D">
        <w:rPr>
          <w:rFonts w:asciiTheme="minorEastAsia" w:eastAsiaTheme="minorEastAsia" w:hAnsiTheme="minorEastAsia"/>
          <w:color w:val="000000"/>
          <w:sz w:val="24"/>
        </w:rPr>
        <w:t>0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00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元（不含），则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="00EC157D">
        <w:rPr>
          <w:rFonts w:asciiTheme="minorEastAsia" w:eastAsiaTheme="minorEastAsia" w:hAnsiTheme="minorEastAsia"/>
          <w:color w:val="000000"/>
          <w:sz w:val="24"/>
        </w:rPr>
        <w:t>0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00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元确认申购成功，超过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="00EC157D">
        <w:rPr>
          <w:rFonts w:asciiTheme="minorEastAsia" w:eastAsiaTheme="minorEastAsia" w:hAnsiTheme="minorEastAsia"/>
          <w:color w:val="000000"/>
          <w:sz w:val="24"/>
        </w:rPr>
        <w:t>0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00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元（不含）金额的部分将确认失败；如单日单个基金账户多笔累计申购本基金</w:t>
      </w:r>
      <w:r w:rsidRPr="00330500">
        <w:rPr>
          <w:rFonts w:asciiTheme="minorEastAsia" w:eastAsiaTheme="minorEastAsia" w:hAnsiTheme="minorEastAsia"/>
          <w:color w:val="000000"/>
          <w:sz w:val="24"/>
        </w:rPr>
        <w:t>A</w:t>
      </w:r>
      <w:r w:rsidRPr="00330500">
        <w:rPr>
          <w:rFonts w:asciiTheme="minorEastAsia" w:eastAsiaTheme="minorEastAsia" w:hAnsiTheme="minorEastAsia"/>
          <w:color w:val="000000"/>
          <w:sz w:val="24"/>
        </w:rPr>
        <w:t>类人民币份额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的金额超过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="00EC157D">
        <w:rPr>
          <w:rFonts w:asciiTheme="minorEastAsia" w:eastAsiaTheme="minorEastAsia" w:hAnsiTheme="minorEastAsia"/>
          <w:color w:val="000000"/>
          <w:sz w:val="24"/>
        </w:rPr>
        <w:t>0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00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元（不含）或单日单个基金账户多笔累计申购本基金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C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类人民币份额的金额超过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="00EC157D">
        <w:rPr>
          <w:rFonts w:asciiTheme="minorEastAsia" w:eastAsiaTheme="minorEastAsia" w:hAnsiTheme="minorEastAsia"/>
          <w:color w:val="000000"/>
          <w:sz w:val="24"/>
        </w:rPr>
        <w:t>0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00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元（不含），则对该类基金份额的申请按照申请金额从大到小排序，基金管理人将逐笔累加至该类基金份额不超过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="00EC157D">
        <w:rPr>
          <w:rFonts w:asciiTheme="minorEastAsia" w:eastAsiaTheme="minorEastAsia" w:hAnsiTheme="minorEastAsia"/>
          <w:color w:val="000000"/>
          <w:sz w:val="24"/>
        </w:rPr>
        <w:t>0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00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元（含）限额的申请确认成功，该类基金份额其余申请金额确认失败。</w:t>
      </w:r>
    </w:p>
    <w:p w:rsidR="0063625C" w:rsidRPr="00330500" w:rsidRDefault="0087087C" w:rsidP="0063625C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</w:rPr>
        <w:t>2</w:t>
      </w:r>
      <w:r w:rsidR="00330500">
        <w:rPr>
          <w:rFonts w:asciiTheme="minorEastAsia" w:eastAsiaTheme="minorEastAsia" w:hAnsiTheme="minorEastAsia"/>
          <w:color w:val="000000"/>
          <w:sz w:val="24"/>
        </w:rPr>
        <w:t>）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对于美元份额，单日单个基金账户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在</w:t>
      </w:r>
      <w:r>
        <w:rPr>
          <w:rFonts w:asciiTheme="minorEastAsia" w:eastAsiaTheme="minorEastAsia" w:hAnsiTheme="minorEastAsia"/>
          <w:b/>
          <w:color w:val="000000"/>
          <w:sz w:val="24"/>
        </w:rPr>
        <w:t>全部销售机构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累计申购（含定期定额投资，下同）本基金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A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类美元份额或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C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类美元份额的金额不超过</w:t>
      </w:r>
      <w:r w:rsidR="00EC157D">
        <w:rPr>
          <w:rFonts w:asciiTheme="minorEastAsia" w:eastAsiaTheme="minorEastAsia" w:hAnsiTheme="minorEastAsia" w:hint="eastAsia"/>
          <w:b/>
          <w:color w:val="000000"/>
          <w:sz w:val="24"/>
        </w:rPr>
        <w:t>6</w:t>
      </w:r>
      <w:r w:rsidR="00EC157D">
        <w:rPr>
          <w:rFonts w:asciiTheme="minorEastAsia" w:eastAsiaTheme="minorEastAsia" w:hAnsiTheme="minorEastAsia"/>
          <w:b/>
          <w:color w:val="000000"/>
          <w:sz w:val="24"/>
        </w:rPr>
        <w:t>0</w:t>
      </w:r>
      <w:r w:rsidR="00EC157D">
        <w:rPr>
          <w:rFonts w:asciiTheme="minorEastAsia" w:eastAsiaTheme="minorEastAsia" w:hAnsiTheme="minorEastAsia" w:hint="eastAsia"/>
          <w:b/>
          <w:color w:val="000000"/>
          <w:sz w:val="24"/>
        </w:rPr>
        <w:t>0</w:t>
      </w:r>
      <w:r w:rsidRPr="00330500">
        <w:rPr>
          <w:rFonts w:asciiTheme="minorEastAsia" w:eastAsiaTheme="minorEastAsia" w:hAnsiTheme="minorEastAsia" w:hint="eastAsia"/>
          <w:b/>
          <w:color w:val="000000"/>
          <w:sz w:val="24"/>
        </w:rPr>
        <w:t>美元。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如单日单个基金账户单笔申购本基金</w:t>
      </w:r>
      <w:r w:rsidRPr="00330500">
        <w:rPr>
          <w:rFonts w:asciiTheme="minorEastAsia" w:eastAsiaTheme="minorEastAsia" w:hAnsiTheme="minorEastAsia"/>
          <w:color w:val="000000"/>
          <w:sz w:val="24"/>
        </w:rPr>
        <w:t>A</w:t>
      </w:r>
      <w:r w:rsidRPr="00330500">
        <w:rPr>
          <w:rFonts w:asciiTheme="minorEastAsia" w:eastAsiaTheme="minorEastAsia" w:hAnsiTheme="minorEastAsia"/>
          <w:color w:val="000000"/>
          <w:sz w:val="24"/>
        </w:rPr>
        <w:t>类美元份额或</w:t>
      </w:r>
      <w:r w:rsidRPr="00330500">
        <w:rPr>
          <w:rFonts w:asciiTheme="minorEastAsia" w:eastAsiaTheme="minorEastAsia" w:hAnsiTheme="minorEastAsia"/>
          <w:color w:val="000000"/>
          <w:sz w:val="24"/>
        </w:rPr>
        <w:t>C</w:t>
      </w:r>
      <w:r w:rsidRPr="00330500">
        <w:rPr>
          <w:rFonts w:asciiTheme="minorEastAsia" w:eastAsiaTheme="minorEastAsia" w:hAnsiTheme="minorEastAsia"/>
          <w:color w:val="000000"/>
          <w:sz w:val="24"/>
        </w:rPr>
        <w:t>类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美元份额的金额超过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6</w:t>
      </w:r>
      <w:r w:rsidR="00EC157D">
        <w:rPr>
          <w:rFonts w:asciiTheme="minorEastAsia" w:eastAsiaTheme="minorEastAsia" w:hAnsiTheme="minorEastAsia"/>
          <w:color w:val="000000"/>
          <w:sz w:val="24"/>
        </w:rPr>
        <w:t>0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美元（不含），则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6</w:t>
      </w:r>
      <w:r w:rsidR="00EC157D">
        <w:rPr>
          <w:rFonts w:asciiTheme="minorEastAsia" w:eastAsiaTheme="minorEastAsia" w:hAnsiTheme="minorEastAsia"/>
          <w:color w:val="000000"/>
          <w:sz w:val="24"/>
        </w:rPr>
        <w:t>0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美元确认申购成功，超过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6</w:t>
      </w:r>
      <w:r w:rsidR="00EC157D">
        <w:rPr>
          <w:rFonts w:asciiTheme="minorEastAsia" w:eastAsiaTheme="minorEastAsia" w:hAnsiTheme="minorEastAsia"/>
          <w:color w:val="000000"/>
          <w:sz w:val="24"/>
        </w:rPr>
        <w:t>0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美元（不含）金额的部分将确认失败；如单日单个基金账户多笔累计申购本基金</w:t>
      </w:r>
      <w:r w:rsidRPr="00330500">
        <w:rPr>
          <w:rFonts w:asciiTheme="minorEastAsia" w:eastAsiaTheme="minorEastAsia" w:hAnsiTheme="minorEastAsia"/>
          <w:color w:val="000000"/>
          <w:sz w:val="24"/>
        </w:rPr>
        <w:t>A</w:t>
      </w:r>
      <w:r w:rsidRPr="00330500">
        <w:rPr>
          <w:rFonts w:asciiTheme="minorEastAsia" w:eastAsiaTheme="minorEastAsia" w:hAnsiTheme="minorEastAsia"/>
          <w:color w:val="000000"/>
          <w:sz w:val="24"/>
        </w:rPr>
        <w:t>类美元份额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的金额超过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6</w:t>
      </w:r>
      <w:r w:rsidR="00EC157D">
        <w:rPr>
          <w:rFonts w:asciiTheme="minorEastAsia" w:eastAsiaTheme="minorEastAsia" w:hAnsiTheme="minorEastAsia"/>
          <w:color w:val="000000"/>
          <w:sz w:val="24"/>
        </w:rPr>
        <w:t>0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美元（不含）或单日单个基金账户多笔累计申购本基金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C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类美元份额的金额超过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6</w:t>
      </w:r>
      <w:r w:rsidR="00EC157D">
        <w:rPr>
          <w:rFonts w:asciiTheme="minorEastAsia" w:eastAsiaTheme="minorEastAsia" w:hAnsiTheme="minorEastAsia"/>
          <w:color w:val="000000"/>
          <w:sz w:val="24"/>
        </w:rPr>
        <w:t>0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美元（不含），则对该类基金份额的申请按照申请金额从大到小排序，基金管理人将逐笔累加至该类基金份额不超过</w:t>
      </w:r>
      <w:r w:rsidR="00EC157D">
        <w:rPr>
          <w:rFonts w:asciiTheme="minorEastAsia" w:eastAsiaTheme="minorEastAsia" w:hAnsiTheme="minorEastAsia" w:hint="eastAsia"/>
          <w:color w:val="000000"/>
          <w:sz w:val="24"/>
        </w:rPr>
        <w:t>6</w:t>
      </w:r>
      <w:r w:rsidR="00EC157D">
        <w:rPr>
          <w:rFonts w:asciiTheme="minorEastAsia" w:eastAsiaTheme="minorEastAsia" w:hAnsiTheme="minorEastAsia"/>
          <w:color w:val="000000"/>
          <w:sz w:val="24"/>
        </w:rPr>
        <w:t>0</w:t>
      </w:r>
      <w:r w:rsidR="00EC157D" w:rsidRPr="00330500">
        <w:rPr>
          <w:rFonts w:asciiTheme="minorEastAsia" w:eastAsiaTheme="minorEastAsia" w:hAnsiTheme="minorEastAsia" w:hint="eastAsia"/>
          <w:color w:val="000000"/>
          <w:sz w:val="24"/>
        </w:rPr>
        <w:t>0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美元（含）限额的申请确认成功，该类基金份额其余申请金额确认失败。</w:t>
      </w:r>
    </w:p>
    <w:p w:rsidR="00ED413D" w:rsidRPr="00330500" w:rsidRDefault="00ED413D" w:rsidP="00ED413D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235A57" w:rsidRPr="00330500" w:rsidRDefault="0087087C" w:rsidP="0063625C">
      <w:pPr>
        <w:pStyle w:val="3"/>
        <w:keepNext w:val="0"/>
        <w:keepLines w:val="0"/>
        <w:spacing w:before="0" w:after="0" w:line="360" w:lineRule="auto"/>
        <w:rPr>
          <w:rFonts w:asciiTheme="minorEastAsia" w:eastAsiaTheme="minorEastAsia" w:hAnsiTheme="minorEastAsia"/>
          <w:kern w:val="0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  <w:szCs w:val="24"/>
        </w:rPr>
        <w:t>2.</w:t>
      </w:r>
      <w:r w:rsidRPr="00330500">
        <w:rPr>
          <w:rFonts w:asciiTheme="minorEastAsia" w:eastAsiaTheme="minorEastAsia" w:hAnsiTheme="minorEastAsia" w:hint="eastAsia"/>
          <w:color w:val="000000"/>
          <w:sz w:val="24"/>
          <w:szCs w:val="24"/>
        </w:rPr>
        <w:t>其他需要提示的事项</w:t>
      </w:r>
    </w:p>
    <w:p w:rsidR="00330500" w:rsidRDefault="0087087C" w:rsidP="00330500">
      <w:pPr>
        <w:spacing w:line="360" w:lineRule="auto"/>
        <w:ind w:firstLineChars="177" w:firstLine="425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</w:rPr>
        <w:t>投资者可通过本基金各销售机构及以下途径咨询有关详情：</w:t>
      </w:r>
    </w:p>
    <w:p w:rsidR="00330500" w:rsidRDefault="0087087C" w:rsidP="00330500">
      <w:pPr>
        <w:spacing w:line="360" w:lineRule="auto"/>
        <w:ind w:firstLineChars="277" w:firstLine="665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易方达基金管理有限公司网站：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www.efunds.com.cn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；</w:t>
      </w:r>
    </w:p>
    <w:p w:rsidR="00ED413D" w:rsidRPr="00330500" w:rsidRDefault="0087087C" w:rsidP="00330500">
      <w:pPr>
        <w:spacing w:line="360" w:lineRule="auto"/>
        <w:ind w:firstLineChars="277" w:firstLine="665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</w:rPr>
        <w:t>2</w:t>
      </w:r>
      <w:r w:rsidR="00330500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易方达基金管理有限公司客户服务热线：</w:t>
      </w:r>
      <w:r w:rsidRPr="00330500">
        <w:rPr>
          <w:rFonts w:asciiTheme="minorEastAsia" w:eastAsiaTheme="minorEastAsia" w:hAnsiTheme="minorEastAsia" w:hint="eastAsia"/>
          <w:color w:val="000000"/>
          <w:sz w:val="24"/>
        </w:rPr>
        <w:t>400 881 8088</w:t>
      </w:r>
      <w:r w:rsidR="00D61440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ED413D" w:rsidRPr="00330500" w:rsidRDefault="0087087C" w:rsidP="00ED413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</w:rPr>
        <w:t>特此公告。</w:t>
      </w:r>
    </w:p>
    <w:p w:rsidR="00ED413D" w:rsidRPr="00330500" w:rsidRDefault="00ED413D" w:rsidP="00ED413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ED413D" w:rsidRPr="00330500" w:rsidRDefault="0087087C" w:rsidP="00ED413D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color w:val="000000"/>
          <w:sz w:val="24"/>
        </w:rPr>
        <w:t>易方达基金管理有限公司</w:t>
      </w:r>
    </w:p>
    <w:p w:rsidR="00E255CB" w:rsidRPr="00330500" w:rsidRDefault="0087087C" w:rsidP="00160021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330500">
        <w:rPr>
          <w:rFonts w:asciiTheme="minorEastAsia" w:eastAsiaTheme="minorEastAsia" w:hAnsiTheme="minorEastAsia" w:hint="eastAsia"/>
          <w:sz w:val="24"/>
        </w:rPr>
        <w:t>202</w:t>
      </w:r>
      <w:r>
        <w:rPr>
          <w:rFonts w:asciiTheme="minorEastAsia" w:eastAsiaTheme="minorEastAsia" w:hAnsiTheme="minorEastAsia"/>
          <w:sz w:val="24"/>
        </w:rPr>
        <w:t>5</w:t>
      </w:r>
      <w:r w:rsidRPr="00330500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8</w:t>
      </w:r>
      <w:r w:rsidR="00060E9A" w:rsidRPr="00330500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</w:t>
      </w:r>
      <w:r w:rsidR="00060E9A" w:rsidRPr="00330500">
        <w:rPr>
          <w:rFonts w:asciiTheme="minorEastAsia" w:eastAsiaTheme="minorEastAsia" w:hAnsiTheme="minorEastAsia" w:hint="eastAsia"/>
          <w:sz w:val="24"/>
        </w:rPr>
        <w:t>日</w:t>
      </w:r>
      <w:bookmarkEnd w:id="0"/>
    </w:p>
    <w:sectPr w:rsidR="00E255CB" w:rsidRPr="00330500" w:rsidSect="00B120A5">
      <w:headerReference w:type="default" r:id="rId7"/>
      <w:footerReference w:type="default" r:id="rId8"/>
      <w:footerReference w:type="first" r:id="rId9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119" w:rsidRDefault="005C3119" w:rsidP="005C3119">
      <w:r>
        <w:separator/>
      </w:r>
    </w:p>
  </w:endnote>
  <w:endnote w:type="continuationSeparator" w:id="0">
    <w:p w:rsidR="005C3119" w:rsidRDefault="005C3119" w:rsidP="005C3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A5" w:rsidRDefault="0087087C" w:rsidP="00B120A5">
    <w:pPr>
      <w:pStyle w:val="a4"/>
      <w:jc w:val="center"/>
    </w:pPr>
    <w:r>
      <w:rPr>
        <w:rStyle w:val="a5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7447071"/>
      <w:docPartObj>
        <w:docPartGallery w:val="Page Numbers (Bottom of Page)"/>
        <w:docPartUnique/>
      </w:docPartObj>
    </w:sdtPr>
    <w:sdtContent>
      <w:p w:rsidR="00171C4A" w:rsidRDefault="0087087C">
        <w:pPr>
          <w:pStyle w:val="a4"/>
          <w:jc w:val="center"/>
        </w:pPr>
        <w:r>
          <w:t>1</w:t>
        </w:r>
      </w:p>
    </w:sdtContent>
  </w:sdt>
  <w:p w:rsidR="00171C4A" w:rsidRDefault="00171C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119" w:rsidRDefault="005C3119" w:rsidP="005C3119">
      <w:r>
        <w:separator/>
      </w:r>
    </w:p>
  </w:footnote>
  <w:footnote w:type="continuationSeparator" w:id="0">
    <w:p w:rsidR="005C3119" w:rsidRDefault="005C3119" w:rsidP="005C3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A5" w:rsidRPr="004649DF" w:rsidRDefault="0087087C" w:rsidP="00B120A5">
    <w:pPr>
      <w:pStyle w:val="a3"/>
      <w:rPr>
        <w:rStyle w:val="a5"/>
      </w:rPr>
    </w:pPr>
    <w:r>
      <w:rPr>
        <w:rStyle w:val="a5"/>
        <w:rFonts w:hint="eastAsia"/>
      </w:rPr>
      <w:t xml:space="preserve">                                             </w:t>
    </w:r>
  </w:p>
  <w:p w:rsidR="00B120A5" w:rsidRPr="004649DF" w:rsidRDefault="0087087C" w:rsidP="00B120A5">
    <w:pPr>
      <w:pStyle w:val="a3"/>
    </w:pPr>
    <w:r>
      <w:rPr>
        <w:rFonts w:hint="eastAsia"/>
      </w:rPr>
      <w:t xml:space="preserve">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idp.efunds.com.cn/api/v1/backend/docSyncController/downloadAnnFile.json?force=true&amp;fileName=%E6%98%93%E6%96%B9%E8%BE%BE%E7%BA%B3%E6%96%AF%E8%BE%BE%E5%85%8B100%E6%8C%87%E6%95%B0%E8%AF%81%E5%88%B8%E6%8A%95%E8%B5%84%E5%9F%BA%E9%87%91%EF%BC%88LOF%EF%BC%89%E6%9A%82%E5%81%9C%E5%A4%A7%E9%A2%9D%E7%94%B3%E8%B4%AD%E4%B8%9A%E5%8A%A1%E7%9A%84%E5%85%AC%E5%91%8A.docx&amp;fileId=ANN_DOC_14150&amp;t=1646386736784"/>
  </w:docVars>
  <w:rsids>
    <w:rsidRoot w:val="0041080C"/>
    <w:rsid w:val="000040EC"/>
    <w:rsid w:val="000124E5"/>
    <w:rsid w:val="00016C7C"/>
    <w:rsid w:val="00032D1E"/>
    <w:rsid w:val="00033F5C"/>
    <w:rsid w:val="00060E9A"/>
    <w:rsid w:val="00070AD4"/>
    <w:rsid w:val="000854F8"/>
    <w:rsid w:val="00097A4C"/>
    <w:rsid w:val="000A7D76"/>
    <w:rsid w:val="000D0C5D"/>
    <w:rsid w:val="000E198C"/>
    <w:rsid w:val="000E5C48"/>
    <w:rsid w:val="00117E69"/>
    <w:rsid w:val="001251E0"/>
    <w:rsid w:val="00131E3C"/>
    <w:rsid w:val="00154712"/>
    <w:rsid w:val="00160021"/>
    <w:rsid w:val="00171C4A"/>
    <w:rsid w:val="00191854"/>
    <w:rsid w:val="001A4658"/>
    <w:rsid w:val="001C3CBD"/>
    <w:rsid w:val="001D6B83"/>
    <w:rsid w:val="001E76D8"/>
    <w:rsid w:val="0020576C"/>
    <w:rsid w:val="00223281"/>
    <w:rsid w:val="00233409"/>
    <w:rsid w:val="00234ECB"/>
    <w:rsid w:val="00235A57"/>
    <w:rsid w:val="0024190B"/>
    <w:rsid w:val="00245DCA"/>
    <w:rsid w:val="002644E6"/>
    <w:rsid w:val="00264E9A"/>
    <w:rsid w:val="0027093B"/>
    <w:rsid w:val="00271D28"/>
    <w:rsid w:val="002874DF"/>
    <w:rsid w:val="002E116A"/>
    <w:rsid w:val="002E5498"/>
    <w:rsid w:val="0030275E"/>
    <w:rsid w:val="00314E8A"/>
    <w:rsid w:val="00317605"/>
    <w:rsid w:val="00327721"/>
    <w:rsid w:val="00330500"/>
    <w:rsid w:val="003621E5"/>
    <w:rsid w:val="00363D90"/>
    <w:rsid w:val="00381A19"/>
    <w:rsid w:val="003874EB"/>
    <w:rsid w:val="003A44D9"/>
    <w:rsid w:val="003A7E63"/>
    <w:rsid w:val="003B0782"/>
    <w:rsid w:val="003C1211"/>
    <w:rsid w:val="003D31E2"/>
    <w:rsid w:val="003E6882"/>
    <w:rsid w:val="003F48DC"/>
    <w:rsid w:val="003F58E2"/>
    <w:rsid w:val="0040358A"/>
    <w:rsid w:val="0040521B"/>
    <w:rsid w:val="0041080C"/>
    <w:rsid w:val="00441AC4"/>
    <w:rsid w:val="00446361"/>
    <w:rsid w:val="00454543"/>
    <w:rsid w:val="004552CA"/>
    <w:rsid w:val="00461120"/>
    <w:rsid w:val="004649DF"/>
    <w:rsid w:val="00482C8F"/>
    <w:rsid w:val="004D35D5"/>
    <w:rsid w:val="00500E3F"/>
    <w:rsid w:val="00516059"/>
    <w:rsid w:val="005177E4"/>
    <w:rsid w:val="005219CC"/>
    <w:rsid w:val="00526E31"/>
    <w:rsid w:val="00534171"/>
    <w:rsid w:val="0053692A"/>
    <w:rsid w:val="00537BBD"/>
    <w:rsid w:val="005436A4"/>
    <w:rsid w:val="00555116"/>
    <w:rsid w:val="00575AC3"/>
    <w:rsid w:val="005B2E55"/>
    <w:rsid w:val="005B4D97"/>
    <w:rsid w:val="005B7445"/>
    <w:rsid w:val="005B7645"/>
    <w:rsid w:val="005C3119"/>
    <w:rsid w:val="005D07C5"/>
    <w:rsid w:val="00601E83"/>
    <w:rsid w:val="0063625C"/>
    <w:rsid w:val="00680ADC"/>
    <w:rsid w:val="006A6CC5"/>
    <w:rsid w:val="00725EA7"/>
    <w:rsid w:val="00736C4F"/>
    <w:rsid w:val="0077504E"/>
    <w:rsid w:val="00777B6D"/>
    <w:rsid w:val="007D6F26"/>
    <w:rsid w:val="0080502A"/>
    <w:rsid w:val="008338B3"/>
    <w:rsid w:val="0087080A"/>
    <w:rsid w:val="0087087C"/>
    <w:rsid w:val="00897E6B"/>
    <w:rsid w:val="00906D8C"/>
    <w:rsid w:val="0091559C"/>
    <w:rsid w:val="0093344E"/>
    <w:rsid w:val="00946AE6"/>
    <w:rsid w:val="00993A18"/>
    <w:rsid w:val="009C4F5D"/>
    <w:rsid w:val="009C602C"/>
    <w:rsid w:val="009D3ABE"/>
    <w:rsid w:val="009E11F4"/>
    <w:rsid w:val="009E64E8"/>
    <w:rsid w:val="00A11EE0"/>
    <w:rsid w:val="00A62F4A"/>
    <w:rsid w:val="00A7087E"/>
    <w:rsid w:val="00A713F4"/>
    <w:rsid w:val="00AA393B"/>
    <w:rsid w:val="00AA509D"/>
    <w:rsid w:val="00AA5841"/>
    <w:rsid w:val="00AE4DF6"/>
    <w:rsid w:val="00AF78B4"/>
    <w:rsid w:val="00B0053C"/>
    <w:rsid w:val="00B012D0"/>
    <w:rsid w:val="00B120A5"/>
    <w:rsid w:val="00B9688E"/>
    <w:rsid w:val="00B97C2E"/>
    <w:rsid w:val="00BF2522"/>
    <w:rsid w:val="00C23557"/>
    <w:rsid w:val="00C45AA1"/>
    <w:rsid w:val="00C47464"/>
    <w:rsid w:val="00C831B4"/>
    <w:rsid w:val="00CD4719"/>
    <w:rsid w:val="00CF4FFE"/>
    <w:rsid w:val="00D54AED"/>
    <w:rsid w:val="00D61440"/>
    <w:rsid w:val="00D70921"/>
    <w:rsid w:val="00D71813"/>
    <w:rsid w:val="00D9378A"/>
    <w:rsid w:val="00D95A49"/>
    <w:rsid w:val="00DD3D9F"/>
    <w:rsid w:val="00DE0469"/>
    <w:rsid w:val="00E00481"/>
    <w:rsid w:val="00E106BF"/>
    <w:rsid w:val="00E162E7"/>
    <w:rsid w:val="00E255CB"/>
    <w:rsid w:val="00E50507"/>
    <w:rsid w:val="00E53E76"/>
    <w:rsid w:val="00E65C7A"/>
    <w:rsid w:val="00E7093F"/>
    <w:rsid w:val="00E71B9C"/>
    <w:rsid w:val="00E8612A"/>
    <w:rsid w:val="00E95923"/>
    <w:rsid w:val="00EC157D"/>
    <w:rsid w:val="00ED413D"/>
    <w:rsid w:val="00EF7459"/>
    <w:rsid w:val="00F07FAD"/>
    <w:rsid w:val="00F27688"/>
    <w:rsid w:val="00F33A5A"/>
    <w:rsid w:val="00F44F36"/>
    <w:rsid w:val="00F56804"/>
    <w:rsid w:val="00F57026"/>
    <w:rsid w:val="00F66CB8"/>
    <w:rsid w:val="00F70383"/>
    <w:rsid w:val="00F92412"/>
    <w:rsid w:val="00F965DA"/>
    <w:rsid w:val="00FD179B"/>
    <w:rsid w:val="00FD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F4F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FFE"/>
    <w:rPr>
      <w:sz w:val="18"/>
      <w:szCs w:val="18"/>
    </w:rPr>
  </w:style>
  <w:style w:type="character" w:customStyle="1" w:styleId="3Char">
    <w:name w:val="标题 3 Char"/>
    <w:basedOn w:val="a0"/>
    <w:link w:val="3"/>
    <w:rsid w:val="00CF4FFE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CF4FFE"/>
  </w:style>
  <w:style w:type="paragraph" w:styleId="a6">
    <w:name w:val="Balloon Text"/>
    <w:basedOn w:val="a"/>
    <w:link w:val="Char1"/>
    <w:uiPriority w:val="99"/>
    <w:semiHidden/>
    <w:unhideWhenUsed/>
    <w:rsid w:val="00482C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2C8F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E8612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E8612A"/>
    <w:rPr>
      <w:rFonts w:ascii="宋体" w:eastAsia="宋体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63625C"/>
    <w:rPr>
      <w:b/>
      <w:bCs/>
    </w:rPr>
  </w:style>
  <w:style w:type="character" w:styleId="a9">
    <w:name w:val="Hyperlink"/>
    <w:basedOn w:val="a0"/>
    <w:uiPriority w:val="99"/>
    <w:unhideWhenUsed/>
    <w:rsid w:val="00330500"/>
    <w:rPr>
      <w:color w:val="0563C1" w:themeColor="hyperlink"/>
      <w:u w:val="single"/>
    </w:rPr>
  </w:style>
  <w:style w:type="paragraph" w:styleId="aa">
    <w:name w:val="Revision"/>
    <w:hidden/>
    <w:uiPriority w:val="99"/>
    <w:semiHidden/>
    <w:rsid w:val="00EC157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767EF-604D-4583-AC6C-9A8A92DE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4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2025-07-31T16:02:00Z</dcterms:created>
  <dcterms:modified xsi:type="dcterms:W3CDTF">2025-07-31T16:02:00Z</dcterms:modified>
</cp:coreProperties>
</file>