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244FCC" w:rsidRPr="00244FCC">
        <w:rPr>
          <w:rFonts w:ascii="Times New Roman" w:hAnsi="Times New Roman" w:cs="Times New Roman" w:hint="eastAsia"/>
          <w:b/>
          <w:color w:val="000000" w:themeColor="text1"/>
          <w:sz w:val="36"/>
          <w:szCs w:val="36"/>
        </w:rPr>
        <w:t>申港证券股份有限公司</w:t>
      </w:r>
      <w:r w:rsidRPr="00C777C7">
        <w:rPr>
          <w:rFonts w:ascii="Times New Roman" w:hAnsi="Times New Roman" w:cs="Times New Roman" w:hint="eastAsia"/>
          <w:b/>
          <w:color w:val="000000" w:themeColor="text1"/>
          <w:sz w:val="36"/>
          <w:szCs w:val="36"/>
        </w:rPr>
        <w:t>为销售机构的公告</w:t>
      </w:r>
    </w:p>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244FCC" w:rsidRPr="00244FCC">
        <w:rPr>
          <w:rFonts w:ascii="Times New Roman" w:eastAsia="宋体" w:hAnsi="Times New Roman" w:cs="Times New Roman" w:hint="eastAsia"/>
          <w:color w:val="000000"/>
          <w:kern w:val="0"/>
          <w:sz w:val="24"/>
          <w:szCs w:val="24"/>
        </w:rPr>
        <w:t>申港证券股份有限公司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244FCC" w:rsidRPr="00244FCC">
        <w:rPr>
          <w:rFonts w:ascii="Times New Roman" w:eastAsia="宋体" w:hAnsi="Times New Roman" w:cs="Times New Roman" w:hint="eastAsia"/>
          <w:color w:val="000000"/>
          <w:kern w:val="0"/>
          <w:sz w:val="24"/>
          <w:szCs w:val="24"/>
        </w:rPr>
        <w:t>申港证券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244FCC" w:rsidRPr="00244FCC">
        <w:rPr>
          <w:rFonts w:ascii="Times New Roman" w:eastAsia="宋体" w:hAnsi="Times New Roman" w:cs="Times New Roman" w:hint="eastAsia"/>
          <w:color w:val="000000"/>
          <w:kern w:val="0"/>
          <w:sz w:val="24"/>
          <w:szCs w:val="24"/>
        </w:rPr>
        <w:t>申港证券</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244FCC">
        <w:rPr>
          <w:rFonts w:ascii="Times New Roman" w:eastAsia="宋体" w:hAnsi="Times New Roman" w:cs="Times New Roman" w:hint="eastAsia"/>
          <w:color w:val="000000"/>
          <w:kern w:val="0"/>
          <w:sz w:val="24"/>
          <w:szCs w:val="24"/>
        </w:rPr>
        <w:t>7</w:t>
      </w:r>
      <w:r w:rsidR="00843CF6">
        <w:rPr>
          <w:rFonts w:ascii="Times New Roman" w:eastAsia="宋体" w:hAnsi="Times New Roman" w:cs="Times New Roman"/>
          <w:color w:val="000000"/>
          <w:kern w:val="0"/>
          <w:sz w:val="24"/>
          <w:szCs w:val="24"/>
        </w:rPr>
        <w:t>月</w:t>
      </w:r>
      <w:r w:rsidR="004F697D">
        <w:rPr>
          <w:rFonts w:ascii="Times New Roman" w:eastAsia="宋体" w:hAnsi="Times New Roman" w:cs="Times New Roman"/>
          <w:color w:val="000000"/>
          <w:kern w:val="0"/>
          <w:sz w:val="24"/>
          <w:szCs w:val="24"/>
        </w:rPr>
        <w:t>31</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2E363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038" w:type="pct"/>
        <w:jc w:val="center"/>
        <w:tblLayout w:type="fixed"/>
        <w:tblLook w:val="04A0"/>
      </w:tblPr>
      <w:tblGrid>
        <w:gridCol w:w="4510"/>
        <w:gridCol w:w="4077"/>
      </w:tblGrid>
      <w:tr w:rsidR="00BE4797" w:rsidRPr="00A95A47" w:rsidTr="00244FCC">
        <w:trPr>
          <w:trHeight w:val="468"/>
          <w:jc w:val="center"/>
        </w:trPr>
        <w:tc>
          <w:tcPr>
            <w:tcW w:w="2626"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374"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244FCC" w:rsidRPr="00A95A47" w:rsidTr="000A00A3">
        <w:trPr>
          <w:trHeight w:val="515"/>
          <w:jc w:val="center"/>
        </w:trPr>
        <w:tc>
          <w:tcPr>
            <w:tcW w:w="2626" w:type="pct"/>
            <w:tcBorders>
              <w:bottom w:val="single" w:sz="4" w:space="0" w:color="auto"/>
            </w:tcBorders>
            <w:shd w:val="clear" w:color="auto" w:fill="FFFFFF" w:themeFill="background1"/>
            <w:vAlign w:val="center"/>
          </w:tcPr>
          <w:p w:rsidR="00244FCC" w:rsidRPr="00A95A47" w:rsidRDefault="004F697D" w:rsidP="00A37DA1">
            <w:pPr>
              <w:pStyle w:val="ab"/>
              <w:spacing w:line="360" w:lineRule="auto"/>
              <w:ind w:firstLineChars="0" w:firstLine="0"/>
              <w:jc w:val="center"/>
              <w:rPr>
                <w:rFonts w:ascii="Times New Roman" w:eastAsia="宋体" w:hAnsi="Times New Roman" w:cs="Times New Roman"/>
                <w:szCs w:val="21"/>
              </w:rPr>
            </w:pPr>
            <w:r w:rsidRPr="004F697D">
              <w:rPr>
                <w:rFonts w:ascii="Times New Roman" w:eastAsia="宋体" w:hAnsi="Times New Roman" w:cs="Times New Roman" w:hint="eastAsia"/>
                <w:szCs w:val="21"/>
              </w:rPr>
              <w:t>泓德裕丰中短债债券型证券投资基金</w:t>
            </w:r>
          </w:p>
        </w:tc>
        <w:tc>
          <w:tcPr>
            <w:tcW w:w="2374" w:type="pct"/>
            <w:tcBorders>
              <w:bottom w:val="single" w:sz="4" w:space="0" w:color="auto"/>
            </w:tcBorders>
            <w:shd w:val="clear" w:color="auto" w:fill="FFFFFF" w:themeFill="background1"/>
            <w:vAlign w:val="center"/>
          </w:tcPr>
          <w:p w:rsidR="00244FCC" w:rsidRPr="00A95A47" w:rsidRDefault="00244FCC" w:rsidP="00A37DA1">
            <w:pPr>
              <w:pStyle w:val="ab"/>
              <w:spacing w:line="360" w:lineRule="auto"/>
              <w:ind w:firstLineChars="0" w:firstLine="0"/>
              <w:jc w:val="center"/>
              <w:rPr>
                <w:rFonts w:ascii="Times New Roman" w:eastAsia="宋体" w:hAnsi="Times New Roman" w:cs="Times New Roman"/>
                <w:szCs w:val="21"/>
              </w:rPr>
            </w:pPr>
            <w:r w:rsidRPr="00244FCC">
              <w:rPr>
                <w:rFonts w:ascii="Times New Roman" w:eastAsia="宋体" w:hAnsi="Times New Roman" w:cs="Times New Roman" w:hint="eastAsia"/>
                <w:szCs w:val="21"/>
              </w:rPr>
              <w:t>A</w:t>
            </w:r>
            <w:r w:rsidRPr="00244FCC">
              <w:rPr>
                <w:rFonts w:ascii="Times New Roman" w:eastAsia="宋体" w:hAnsi="Times New Roman" w:cs="Times New Roman" w:hint="eastAsia"/>
                <w:szCs w:val="21"/>
              </w:rPr>
              <w:t>类</w:t>
            </w:r>
            <w:r w:rsidRPr="00244FCC">
              <w:rPr>
                <w:rFonts w:ascii="Times New Roman" w:eastAsia="宋体" w:hAnsi="Times New Roman" w:cs="Times New Roman" w:hint="eastAsia"/>
                <w:szCs w:val="21"/>
              </w:rPr>
              <w:t>/C</w:t>
            </w:r>
            <w:r w:rsidRPr="00244FCC">
              <w:rPr>
                <w:rFonts w:ascii="Times New Roman" w:eastAsia="宋体" w:hAnsi="Times New Roman" w:cs="Times New Roman" w:hint="eastAsia"/>
                <w:szCs w:val="21"/>
              </w:rPr>
              <w:t>类：</w:t>
            </w:r>
            <w:r w:rsidR="004F697D" w:rsidRPr="004F697D">
              <w:rPr>
                <w:rFonts w:ascii="Times New Roman" w:eastAsia="宋体" w:hAnsi="Times New Roman" w:cs="Times New Roman"/>
                <w:szCs w:val="21"/>
              </w:rPr>
              <w:t>006606/006607</w:t>
            </w:r>
          </w:p>
        </w:tc>
      </w:tr>
      <w:tr w:rsidR="004600A2" w:rsidRPr="00A95A47" w:rsidTr="000A00A3">
        <w:trPr>
          <w:trHeight w:val="423"/>
          <w:jc w:val="center"/>
        </w:trPr>
        <w:tc>
          <w:tcPr>
            <w:tcW w:w="2626" w:type="pct"/>
            <w:shd w:val="clear" w:color="auto" w:fill="FFFFFF" w:themeFill="background1"/>
            <w:vAlign w:val="center"/>
          </w:tcPr>
          <w:p w:rsidR="004600A2" w:rsidRPr="007920A9" w:rsidRDefault="004F697D" w:rsidP="00244FCC">
            <w:pPr>
              <w:pStyle w:val="ab"/>
              <w:spacing w:line="360" w:lineRule="auto"/>
              <w:ind w:firstLineChars="0" w:firstLine="0"/>
              <w:jc w:val="center"/>
              <w:rPr>
                <w:rFonts w:asciiTheme="minorEastAsia" w:hAnsiTheme="minorEastAsia"/>
                <w:szCs w:val="21"/>
              </w:rPr>
            </w:pPr>
            <w:r w:rsidRPr="004F697D">
              <w:rPr>
                <w:rFonts w:ascii="Times New Roman" w:eastAsia="宋体" w:hAnsi="Times New Roman" w:cs="Times New Roman" w:hint="eastAsia"/>
                <w:szCs w:val="21"/>
              </w:rPr>
              <w:t>泓德裕惠债券型证券投资基金</w:t>
            </w:r>
          </w:p>
        </w:tc>
        <w:tc>
          <w:tcPr>
            <w:tcW w:w="2374" w:type="pct"/>
            <w:shd w:val="clear" w:color="auto" w:fill="FFFFFF" w:themeFill="background1"/>
            <w:vAlign w:val="center"/>
          </w:tcPr>
          <w:p w:rsidR="004600A2" w:rsidRPr="00244FCC" w:rsidRDefault="004F697D" w:rsidP="00244FCC">
            <w:pPr>
              <w:pStyle w:val="ab"/>
              <w:spacing w:line="360" w:lineRule="auto"/>
              <w:ind w:firstLineChars="0" w:firstLine="0"/>
              <w:jc w:val="center"/>
              <w:rPr>
                <w:rFonts w:ascii="Times New Roman" w:eastAsia="宋体" w:hAnsi="Times New Roman" w:cs="Times New Roman"/>
                <w:szCs w:val="21"/>
              </w:rPr>
            </w:pPr>
            <w:r w:rsidRPr="00244FCC">
              <w:rPr>
                <w:rFonts w:ascii="Times New Roman" w:eastAsia="宋体" w:hAnsi="Times New Roman" w:cs="Times New Roman" w:hint="eastAsia"/>
                <w:szCs w:val="21"/>
              </w:rPr>
              <w:t>A</w:t>
            </w:r>
            <w:r w:rsidRPr="00244FCC">
              <w:rPr>
                <w:rFonts w:ascii="Times New Roman" w:eastAsia="宋体" w:hAnsi="Times New Roman" w:cs="Times New Roman" w:hint="eastAsia"/>
                <w:szCs w:val="21"/>
              </w:rPr>
              <w:t>类</w:t>
            </w:r>
            <w:r w:rsidRPr="00244FCC">
              <w:rPr>
                <w:rFonts w:ascii="Times New Roman" w:eastAsia="宋体" w:hAnsi="Times New Roman" w:cs="Times New Roman" w:hint="eastAsia"/>
                <w:szCs w:val="21"/>
              </w:rPr>
              <w:t>/C</w:t>
            </w:r>
            <w:r w:rsidRPr="00244FCC">
              <w:rPr>
                <w:rFonts w:ascii="Times New Roman" w:eastAsia="宋体" w:hAnsi="Times New Roman" w:cs="Times New Roman" w:hint="eastAsia"/>
                <w:szCs w:val="21"/>
              </w:rPr>
              <w:t>类：</w:t>
            </w:r>
            <w:r w:rsidRPr="004F697D">
              <w:rPr>
                <w:rFonts w:ascii="Times New Roman" w:eastAsia="宋体" w:hAnsi="Times New Roman" w:cs="Times New Roman"/>
                <w:szCs w:val="21"/>
              </w:rPr>
              <w:t>023809/023810</w:t>
            </w:r>
          </w:p>
        </w:tc>
      </w:tr>
      <w:tr w:rsidR="00A37DA1" w:rsidRPr="00A95A47" w:rsidTr="000A00A3">
        <w:trPr>
          <w:trHeight w:val="515"/>
          <w:jc w:val="center"/>
        </w:trPr>
        <w:tc>
          <w:tcPr>
            <w:tcW w:w="2626" w:type="pct"/>
            <w:shd w:val="clear" w:color="auto" w:fill="FFFFFF" w:themeFill="background1"/>
            <w:vAlign w:val="center"/>
          </w:tcPr>
          <w:p w:rsidR="00A37DA1" w:rsidRPr="00244FCC" w:rsidRDefault="004F697D" w:rsidP="00244FCC">
            <w:pPr>
              <w:pStyle w:val="ab"/>
              <w:spacing w:line="360" w:lineRule="auto"/>
              <w:ind w:firstLineChars="0" w:firstLine="0"/>
              <w:jc w:val="center"/>
              <w:rPr>
                <w:rFonts w:ascii="Times New Roman" w:eastAsia="宋体" w:hAnsi="Times New Roman" w:cs="Times New Roman"/>
                <w:szCs w:val="21"/>
              </w:rPr>
            </w:pPr>
            <w:r w:rsidRPr="004F697D">
              <w:rPr>
                <w:rFonts w:ascii="Times New Roman" w:eastAsia="宋体" w:hAnsi="Times New Roman" w:cs="Times New Roman" w:hint="eastAsia"/>
                <w:szCs w:val="21"/>
              </w:rPr>
              <w:t>泓德裕康债券型证券投资基金</w:t>
            </w:r>
            <w:bookmarkStart w:id="0" w:name="_GoBack"/>
            <w:bookmarkEnd w:id="0"/>
          </w:p>
        </w:tc>
        <w:tc>
          <w:tcPr>
            <w:tcW w:w="2374" w:type="pct"/>
            <w:shd w:val="clear" w:color="auto" w:fill="FFFFFF" w:themeFill="background1"/>
            <w:vAlign w:val="center"/>
          </w:tcPr>
          <w:p w:rsidR="00A37DA1" w:rsidRPr="00244FCC" w:rsidRDefault="00A37DA1" w:rsidP="004F697D">
            <w:pPr>
              <w:pStyle w:val="ab"/>
              <w:spacing w:line="360" w:lineRule="auto"/>
              <w:ind w:firstLineChars="0" w:firstLine="0"/>
              <w:jc w:val="center"/>
              <w:rPr>
                <w:rFonts w:ascii="Times New Roman" w:eastAsia="宋体" w:hAnsi="Times New Roman" w:cs="Times New Roman"/>
                <w:szCs w:val="21"/>
              </w:rPr>
            </w:pPr>
            <w:r w:rsidRPr="00244FCC">
              <w:rPr>
                <w:rFonts w:ascii="Times New Roman" w:eastAsia="宋体" w:hAnsi="Times New Roman" w:cs="Times New Roman"/>
                <w:szCs w:val="21"/>
              </w:rPr>
              <w:t>A</w:t>
            </w:r>
            <w:r w:rsidRPr="00244FCC">
              <w:rPr>
                <w:rFonts w:ascii="Times New Roman" w:eastAsia="宋体" w:hAnsi="Times New Roman" w:cs="Times New Roman" w:hint="eastAsia"/>
                <w:szCs w:val="21"/>
              </w:rPr>
              <w:t>类</w:t>
            </w:r>
            <w:r w:rsidRPr="00244FCC">
              <w:rPr>
                <w:rFonts w:ascii="Times New Roman" w:eastAsia="宋体" w:hAnsi="Times New Roman" w:cs="Times New Roman"/>
                <w:szCs w:val="21"/>
              </w:rPr>
              <w:t>/</w:t>
            </w:r>
            <w:r w:rsidRPr="00244FCC">
              <w:rPr>
                <w:rFonts w:ascii="Times New Roman" w:eastAsia="宋体" w:hAnsi="Times New Roman" w:cs="Times New Roman" w:hint="eastAsia"/>
                <w:szCs w:val="21"/>
              </w:rPr>
              <w:t>C</w:t>
            </w:r>
            <w:r w:rsidRPr="00244FCC">
              <w:rPr>
                <w:rFonts w:ascii="Times New Roman" w:eastAsia="宋体" w:hAnsi="Times New Roman" w:cs="Times New Roman" w:hint="eastAsia"/>
                <w:szCs w:val="21"/>
              </w:rPr>
              <w:t>类：</w:t>
            </w:r>
            <w:r w:rsidR="004F697D" w:rsidRPr="004F697D">
              <w:rPr>
                <w:rFonts w:ascii="Times New Roman" w:eastAsia="宋体" w:hAnsi="Times New Roman" w:cs="Times New Roman"/>
                <w:szCs w:val="21"/>
              </w:rPr>
              <w:t>002738/002739</w:t>
            </w:r>
          </w:p>
        </w:tc>
      </w:tr>
      <w:tr w:rsidR="004F697D" w:rsidRPr="00A95A47" w:rsidTr="000A00A3">
        <w:trPr>
          <w:trHeight w:val="408"/>
          <w:jc w:val="center"/>
        </w:trPr>
        <w:tc>
          <w:tcPr>
            <w:tcW w:w="2626" w:type="pct"/>
            <w:shd w:val="clear" w:color="auto" w:fill="FFFFFF" w:themeFill="background1"/>
            <w:vAlign w:val="center"/>
          </w:tcPr>
          <w:p w:rsidR="004F697D" w:rsidRPr="004F697D" w:rsidRDefault="004F697D" w:rsidP="00244FCC">
            <w:pPr>
              <w:pStyle w:val="ab"/>
              <w:spacing w:line="360" w:lineRule="auto"/>
              <w:ind w:firstLineChars="0" w:firstLine="0"/>
              <w:jc w:val="center"/>
              <w:rPr>
                <w:rFonts w:ascii="Times New Roman" w:eastAsia="宋体" w:hAnsi="Times New Roman" w:cs="Times New Roman"/>
                <w:szCs w:val="21"/>
              </w:rPr>
            </w:pPr>
            <w:r w:rsidRPr="004F697D">
              <w:rPr>
                <w:rFonts w:ascii="Times New Roman" w:eastAsia="宋体" w:hAnsi="Times New Roman" w:cs="Times New Roman" w:hint="eastAsia"/>
                <w:szCs w:val="21"/>
              </w:rPr>
              <w:t>泓德裕祥债券型证券投资基金</w:t>
            </w:r>
          </w:p>
        </w:tc>
        <w:tc>
          <w:tcPr>
            <w:tcW w:w="2374" w:type="pct"/>
            <w:shd w:val="clear" w:color="auto" w:fill="FFFFFF" w:themeFill="background1"/>
            <w:vAlign w:val="center"/>
          </w:tcPr>
          <w:p w:rsidR="004F697D" w:rsidRPr="00244FCC" w:rsidRDefault="004F697D" w:rsidP="004F697D">
            <w:pPr>
              <w:pStyle w:val="ab"/>
              <w:spacing w:line="360" w:lineRule="auto"/>
              <w:ind w:firstLineChars="0" w:firstLine="0"/>
              <w:jc w:val="center"/>
              <w:rPr>
                <w:rFonts w:ascii="Times New Roman" w:eastAsia="宋体" w:hAnsi="Times New Roman" w:cs="Times New Roman"/>
                <w:szCs w:val="21"/>
              </w:rPr>
            </w:pPr>
            <w:r w:rsidRPr="00244FCC">
              <w:rPr>
                <w:rFonts w:ascii="Times New Roman" w:eastAsia="宋体" w:hAnsi="Times New Roman" w:cs="Times New Roman"/>
                <w:szCs w:val="21"/>
              </w:rPr>
              <w:t>A</w:t>
            </w:r>
            <w:r w:rsidRPr="00244FCC">
              <w:rPr>
                <w:rFonts w:ascii="Times New Roman" w:eastAsia="宋体" w:hAnsi="Times New Roman" w:cs="Times New Roman" w:hint="eastAsia"/>
                <w:szCs w:val="21"/>
              </w:rPr>
              <w:t>类</w:t>
            </w:r>
            <w:r w:rsidRPr="00244FCC">
              <w:rPr>
                <w:rFonts w:ascii="Times New Roman" w:eastAsia="宋体" w:hAnsi="Times New Roman" w:cs="Times New Roman"/>
                <w:szCs w:val="21"/>
              </w:rPr>
              <w:t>/</w:t>
            </w:r>
            <w:r w:rsidRPr="00244FCC">
              <w:rPr>
                <w:rFonts w:ascii="Times New Roman" w:eastAsia="宋体" w:hAnsi="Times New Roman" w:cs="Times New Roman" w:hint="eastAsia"/>
                <w:szCs w:val="21"/>
              </w:rPr>
              <w:t>C</w:t>
            </w:r>
            <w:r w:rsidRPr="00244FCC">
              <w:rPr>
                <w:rFonts w:ascii="Times New Roman" w:eastAsia="宋体" w:hAnsi="Times New Roman" w:cs="Times New Roman" w:hint="eastAsia"/>
                <w:szCs w:val="21"/>
              </w:rPr>
              <w:t>类：</w:t>
            </w:r>
            <w:r w:rsidRPr="004F697D">
              <w:rPr>
                <w:rFonts w:ascii="Times New Roman" w:eastAsia="宋体" w:hAnsi="Times New Roman" w:cs="Times New Roman"/>
                <w:szCs w:val="21"/>
              </w:rPr>
              <w:t>002742/002743</w:t>
            </w:r>
          </w:p>
        </w:tc>
      </w:tr>
    </w:tbl>
    <w:p w:rsidR="00843CF6" w:rsidRDefault="00B65CEB" w:rsidP="002E363D">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244FCC">
        <w:rPr>
          <w:rFonts w:ascii="Times New Roman" w:eastAsia="宋体" w:hAnsi="Times New Roman" w:cs="Times New Roman" w:hint="eastAsia"/>
          <w:color w:val="000000"/>
          <w:kern w:val="0"/>
          <w:sz w:val="24"/>
          <w:szCs w:val="24"/>
        </w:rPr>
        <w:t>7</w:t>
      </w:r>
      <w:r w:rsidR="00843CF6">
        <w:rPr>
          <w:rFonts w:ascii="Times New Roman" w:eastAsia="宋体" w:hAnsi="Times New Roman" w:cs="Times New Roman" w:hint="eastAsia"/>
          <w:color w:val="000000"/>
          <w:kern w:val="0"/>
          <w:sz w:val="24"/>
          <w:szCs w:val="24"/>
        </w:rPr>
        <w:t>月</w:t>
      </w:r>
      <w:r w:rsidR="004F697D">
        <w:rPr>
          <w:rFonts w:ascii="Times New Roman" w:eastAsia="宋体" w:hAnsi="Times New Roman" w:cs="Times New Roman"/>
          <w:color w:val="000000"/>
          <w:kern w:val="0"/>
          <w:sz w:val="24"/>
          <w:szCs w:val="24"/>
        </w:rPr>
        <w:t>31</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244FCC" w:rsidRPr="00244FCC">
        <w:rPr>
          <w:rFonts w:ascii="Times New Roman" w:eastAsia="宋体" w:hAnsi="Times New Roman" w:cs="Times New Roman" w:hint="eastAsia"/>
          <w:color w:val="000000"/>
          <w:kern w:val="0"/>
          <w:sz w:val="24"/>
          <w:szCs w:val="24"/>
        </w:rPr>
        <w:t>申港证券</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上述基金可参与</w:t>
      </w:r>
      <w:r w:rsidR="00244FCC" w:rsidRPr="00244FCC">
        <w:rPr>
          <w:rFonts w:ascii="Times New Roman" w:eastAsia="宋体" w:hAnsi="Times New Roman" w:cs="Times New Roman" w:hint="eastAsia"/>
          <w:color w:val="000000"/>
          <w:kern w:val="0"/>
          <w:sz w:val="24"/>
          <w:szCs w:val="24"/>
        </w:rPr>
        <w:t>申港证券</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244FCC" w:rsidRPr="00244FCC">
        <w:rPr>
          <w:rFonts w:ascii="Times New Roman" w:eastAsia="宋体" w:hAnsi="Times New Roman" w:cs="Times New Roman" w:hint="eastAsia"/>
          <w:color w:val="000000"/>
          <w:kern w:val="0"/>
          <w:sz w:val="24"/>
          <w:szCs w:val="24"/>
        </w:rPr>
        <w:t>申港证券</w:t>
      </w:r>
      <w:r w:rsidRPr="00DE734A">
        <w:rPr>
          <w:rFonts w:ascii="Times New Roman" w:eastAsia="宋体" w:hAnsi="Times New Roman" w:cs="Times New Roman" w:hint="eastAsia"/>
          <w:color w:val="000000"/>
          <w:kern w:val="0"/>
          <w:sz w:val="24"/>
          <w:szCs w:val="24"/>
        </w:rPr>
        <w:t>的安排为准。</w:t>
      </w:r>
    </w:p>
    <w:p w:rsidR="00247F19" w:rsidRPr="00A95A47" w:rsidRDefault="00DB2529" w:rsidP="002E363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244FCC" w:rsidRPr="00244FCC">
        <w:rPr>
          <w:rFonts w:ascii="Times New Roman" w:eastAsia="宋体" w:hAnsi="Times New Roman" w:cs="Times New Roman" w:hint="eastAsia"/>
          <w:color w:val="000000"/>
          <w:kern w:val="0"/>
          <w:sz w:val="24"/>
          <w:szCs w:val="24"/>
        </w:rPr>
        <w:t>申港证券</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244FCC" w:rsidRPr="00244FCC">
        <w:rPr>
          <w:rFonts w:ascii="Times New Roman" w:eastAsia="宋体" w:hAnsi="Times New Roman" w:cs="Times New Roman" w:hint="eastAsia"/>
          <w:color w:val="000000"/>
          <w:kern w:val="0"/>
          <w:sz w:val="24"/>
          <w:szCs w:val="24"/>
        </w:rPr>
        <w:t>申港证券</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投资者申请转换的两只基金必须是由本公司管理的同一销售机构销售、同一注册登记机构处登记的基金。旗下开放式基金产品转换补差费率不设折扣限</w:t>
      </w:r>
      <w:r w:rsidR="00FE47DE" w:rsidRPr="00F2130D">
        <w:rPr>
          <w:rFonts w:ascii="Times New Roman" w:eastAsia="宋体" w:hAnsi="Times New Roman" w:cs="Times New Roman"/>
          <w:color w:val="000000"/>
          <w:kern w:val="0"/>
          <w:sz w:val="24"/>
          <w:szCs w:val="24"/>
        </w:rPr>
        <w:lastRenderedPageBreak/>
        <w:t>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244FCC" w:rsidRPr="00244FCC">
        <w:rPr>
          <w:rFonts w:ascii="Times New Roman" w:eastAsia="宋体" w:hAnsi="Times New Roman" w:cs="Times New Roman" w:hint="eastAsia"/>
          <w:color w:val="000000"/>
          <w:kern w:val="0"/>
          <w:sz w:val="24"/>
          <w:szCs w:val="24"/>
        </w:rPr>
        <w:t>申港证券</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2E363D">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AD003C" w:rsidRPr="00AD003C" w:rsidRDefault="00244FCC" w:rsidP="00244FCC">
      <w:pPr>
        <w:pStyle w:val="ab"/>
        <w:numPr>
          <w:ilvl w:val="0"/>
          <w:numId w:val="2"/>
        </w:numPr>
        <w:autoSpaceDE w:val="0"/>
        <w:autoSpaceDN w:val="0"/>
        <w:adjustRightInd w:val="0"/>
        <w:spacing w:line="360" w:lineRule="auto"/>
        <w:ind w:firstLineChars="0"/>
        <w:jc w:val="left"/>
        <w:rPr>
          <w:rFonts w:ascii="Times New Roman" w:eastAsia="宋体" w:hAnsi="Times New Roman" w:cs="Times New Roman"/>
          <w:color w:val="000000"/>
          <w:kern w:val="0"/>
          <w:sz w:val="24"/>
          <w:szCs w:val="24"/>
        </w:rPr>
      </w:pPr>
      <w:r w:rsidRPr="00244FCC">
        <w:rPr>
          <w:rFonts w:ascii="Times New Roman" w:eastAsia="宋体" w:hAnsi="Times New Roman" w:cs="Times New Roman" w:hint="eastAsia"/>
          <w:color w:val="000000"/>
          <w:kern w:val="0"/>
          <w:sz w:val="24"/>
          <w:szCs w:val="24"/>
        </w:rPr>
        <w:t>申港证券股份有限公司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244FCC" w:rsidRPr="00244FCC">
        <w:rPr>
          <w:rFonts w:ascii="Times New Roman" w:eastAsia="宋体" w:hAnsi="Times New Roman" w:cs="Times New Roman"/>
          <w:color w:val="000000"/>
          <w:kern w:val="0"/>
          <w:sz w:val="24"/>
          <w:szCs w:val="24"/>
        </w:rPr>
        <w:t>956029</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244FCC" w:rsidRPr="00244FCC">
        <w:rPr>
          <w:rFonts w:ascii="Times New Roman" w:eastAsia="宋体" w:hAnsi="Times New Roman" w:cs="Times New Roman"/>
          <w:color w:val="000000"/>
          <w:kern w:val="0"/>
          <w:sz w:val="24"/>
          <w:szCs w:val="24"/>
        </w:rPr>
        <w:t>www.shgsec.com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2E363D">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244FCC">
        <w:rPr>
          <w:rFonts w:ascii="Times New Roman" w:eastAsia="宋体" w:hAnsi="Times New Roman" w:cs="Times New Roman" w:hint="eastAsia"/>
          <w:color w:val="000000"/>
          <w:kern w:val="0"/>
          <w:sz w:val="24"/>
          <w:szCs w:val="24"/>
        </w:rPr>
        <w:t>七</w:t>
      </w:r>
      <w:r w:rsidRPr="00A95A47">
        <w:rPr>
          <w:rFonts w:ascii="Times New Roman" w:eastAsia="宋体" w:hAnsi="Times New Roman" w:cs="Times New Roman"/>
          <w:color w:val="000000"/>
          <w:kern w:val="0"/>
          <w:sz w:val="24"/>
          <w:szCs w:val="24"/>
        </w:rPr>
        <w:t>月</w:t>
      </w:r>
      <w:r w:rsidR="000A00A3">
        <w:rPr>
          <w:rFonts w:ascii="Times New Roman" w:eastAsia="宋体" w:hAnsi="Times New Roman" w:cs="Times New Roman" w:hint="eastAsia"/>
          <w:color w:val="000000"/>
          <w:kern w:val="0"/>
          <w:sz w:val="24"/>
          <w:szCs w:val="24"/>
        </w:rPr>
        <w:t>三十一</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788" w:rsidRDefault="00007788" w:rsidP="002070BA">
      <w:r>
        <w:separator/>
      </w:r>
    </w:p>
  </w:endnote>
  <w:endnote w:type="continuationSeparator" w:id="0">
    <w:p w:rsidR="00007788" w:rsidRDefault="00007788"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788" w:rsidRDefault="00007788" w:rsidP="002070BA">
      <w:r>
        <w:separator/>
      </w:r>
    </w:p>
  </w:footnote>
  <w:footnote w:type="continuationSeparator" w:id="0">
    <w:p w:rsidR="00007788" w:rsidRDefault="00007788"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07788"/>
    <w:rsid w:val="0001688F"/>
    <w:rsid w:val="00020B66"/>
    <w:rsid w:val="00026070"/>
    <w:rsid w:val="00040D33"/>
    <w:rsid w:val="0004547C"/>
    <w:rsid w:val="000467B6"/>
    <w:rsid w:val="000539C2"/>
    <w:rsid w:val="00054961"/>
    <w:rsid w:val="0006059E"/>
    <w:rsid w:val="00094647"/>
    <w:rsid w:val="000A00A3"/>
    <w:rsid w:val="000B480F"/>
    <w:rsid w:val="000B5ED6"/>
    <w:rsid w:val="000C5DB5"/>
    <w:rsid w:val="000D1974"/>
    <w:rsid w:val="000D68F8"/>
    <w:rsid w:val="000D7807"/>
    <w:rsid w:val="000F2FAE"/>
    <w:rsid w:val="000F394E"/>
    <w:rsid w:val="000F5A1E"/>
    <w:rsid w:val="000F5B10"/>
    <w:rsid w:val="000F67B3"/>
    <w:rsid w:val="0010344B"/>
    <w:rsid w:val="00117A88"/>
    <w:rsid w:val="00123161"/>
    <w:rsid w:val="00124CAD"/>
    <w:rsid w:val="00136664"/>
    <w:rsid w:val="001634CF"/>
    <w:rsid w:val="001805F3"/>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A0D20"/>
    <w:rsid w:val="002A7914"/>
    <w:rsid w:val="002B0DF7"/>
    <w:rsid w:val="002B3C52"/>
    <w:rsid w:val="002C13D2"/>
    <w:rsid w:val="002C7910"/>
    <w:rsid w:val="002C7E9A"/>
    <w:rsid w:val="002D3C84"/>
    <w:rsid w:val="002E363D"/>
    <w:rsid w:val="00300A06"/>
    <w:rsid w:val="0030640C"/>
    <w:rsid w:val="0030740D"/>
    <w:rsid w:val="00313C1F"/>
    <w:rsid w:val="00317BB7"/>
    <w:rsid w:val="00324063"/>
    <w:rsid w:val="00327551"/>
    <w:rsid w:val="0032769D"/>
    <w:rsid w:val="003346AF"/>
    <w:rsid w:val="00335D2D"/>
    <w:rsid w:val="003360AC"/>
    <w:rsid w:val="0035248E"/>
    <w:rsid w:val="003529C1"/>
    <w:rsid w:val="0035714E"/>
    <w:rsid w:val="0036226B"/>
    <w:rsid w:val="00382889"/>
    <w:rsid w:val="003862DF"/>
    <w:rsid w:val="003A1288"/>
    <w:rsid w:val="003B2C55"/>
    <w:rsid w:val="003B4834"/>
    <w:rsid w:val="003C1208"/>
    <w:rsid w:val="003D28A0"/>
    <w:rsid w:val="003E4C0C"/>
    <w:rsid w:val="003F4B05"/>
    <w:rsid w:val="003F6BE3"/>
    <w:rsid w:val="00400A4A"/>
    <w:rsid w:val="00401C8D"/>
    <w:rsid w:val="004057FD"/>
    <w:rsid w:val="00412305"/>
    <w:rsid w:val="00415CCD"/>
    <w:rsid w:val="00421EDE"/>
    <w:rsid w:val="004324AE"/>
    <w:rsid w:val="00436F3D"/>
    <w:rsid w:val="0043705C"/>
    <w:rsid w:val="0044593D"/>
    <w:rsid w:val="00455D07"/>
    <w:rsid w:val="0045684E"/>
    <w:rsid w:val="004600A2"/>
    <w:rsid w:val="0047188C"/>
    <w:rsid w:val="004754B2"/>
    <w:rsid w:val="00475815"/>
    <w:rsid w:val="0048480E"/>
    <w:rsid w:val="00484EB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4F697D"/>
    <w:rsid w:val="005117B0"/>
    <w:rsid w:val="00520A53"/>
    <w:rsid w:val="00533E20"/>
    <w:rsid w:val="00534922"/>
    <w:rsid w:val="0054023E"/>
    <w:rsid w:val="00547828"/>
    <w:rsid w:val="005606BC"/>
    <w:rsid w:val="00563265"/>
    <w:rsid w:val="0056354F"/>
    <w:rsid w:val="0057007E"/>
    <w:rsid w:val="00570773"/>
    <w:rsid w:val="00576DDD"/>
    <w:rsid w:val="00584682"/>
    <w:rsid w:val="00592EF1"/>
    <w:rsid w:val="005945AA"/>
    <w:rsid w:val="00596E09"/>
    <w:rsid w:val="005A0D05"/>
    <w:rsid w:val="005A29D9"/>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2142"/>
    <w:rsid w:val="00614773"/>
    <w:rsid w:val="00622D1C"/>
    <w:rsid w:val="006402B8"/>
    <w:rsid w:val="00642634"/>
    <w:rsid w:val="00647163"/>
    <w:rsid w:val="00662052"/>
    <w:rsid w:val="00664DE5"/>
    <w:rsid w:val="00664FCB"/>
    <w:rsid w:val="00667F38"/>
    <w:rsid w:val="006B3151"/>
    <w:rsid w:val="006B7227"/>
    <w:rsid w:val="006B7DAB"/>
    <w:rsid w:val="006D5C4F"/>
    <w:rsid w:val="006D5EF9"/>
    <w:rsid w:val="006E2DD9"/>
    <w:rsid w:val="006F32DC"/>
    <w:rsid w:val="006F3C11"/>
    <w:rsid w:val="006F7671"/>
    <w:rsid w:val="00706FC5"/>
    <w:rsid w:val="00715C86"/>
    <w:rsid w:val="007314AA"/>
    <w:rsid w:val="007356DB"/>
    <w:rsid w:val="0073774F"/>
    <w:rsid w:val="00737F2A"/>
    <w:rsid w:val="00741056"/>
    <w:rsid w:val="00747B30"/>
    <w:rsid w:val="0076485C"/>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4C78"/>
    <w:rsid w:val="008F714D"/>
    <w:rsid w:val="00901F4D"/>
    <w:rsid w:val="00903D68"/>
    <w:rsid w:val="009059E8"/>
    <w:rsid w:val="00907506"/>
    <w:rsid w:val="00911048"/>
    <w:rsid w:val="00914EB7"/>
    <w:rsid w:val="00942BB4"/>
    <w:rsid w:val="00946709"/>
    <w:rsid w:val="00946A0F"/>
    <w:rsid w:val="009539F1"/>
    <w:rsid w:val="00956A5B"/>
    <w:rsid w:val="00965684"/>
    <w:rsid w:val="009656D0"/>
    <w:rsid w:val="00971449"/>
    <w:rsid w:val="009723C2"/>
    <w:rsid w:val="009802A3"/>
    <w:rsid w:val="009823DD"/>
    <w:rsid w:val="009912CA"/>
    <w:rsid w:val="00993FD3"/>
    <w:rsid w:val="009A4975"/>
    <w:rsid w:val="009B3579"/>
    <w:rsid w:val="009E1AFF"/>
    <w:rsid w:val="009E2529"/>
    <w:rsid w:val="009E5EAC"/>
    <w:rsid w:val="009E749D"/>
    <w:rsid w:val="009F2567"/>
    <w:rsid w:val="009F4634"/>
    <w:rsid w:val="00A032A2"/>
    <w:rsid w:val="00A131E6"/>
    <w:rsid w:val="00A1649E"/>
    <w:rsid w:val="00A20939"/>
    <w:rsid w:val="00A23FBB"/>
    <w:rsid w:val="00A25922"/>
    <w:rsid w:val="00A37DA1"/>
    <w:rsid w:val="00A4384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50E6A"/>
    <w:rsid w:val="00D57716"/>
    <w:rsid w:val="00D644E5"/>
    <w:rsid w:val="00D66AFC"/>
    <w:rsid w:val="00D7717E"/>
    <w:rsid w:val="00D8078B"/>
    <w:rsid w:val="00D93683"/>
    <w:rsid w:val="00D97ADB"/>
    <w:rsid w:val="00DA2E8D"/>
    <w:rsid w:val="00DB2529"/>
    <w:rsid w:val="00DD182A"/>
    <w:rsid w:val="00DD7CF4"/>
    <w:rsid w:val="00DE3D41"/>
    <w:rsid w:val="00DE4AD9"/>
    <w:rsid w:val="00E012E6"/>
    <w:rsid w:val="00E07A23"/>
    <w:rsid w:val="00E10E63"/>
    <w:rsid w:val="00E142F4"/>
    <w:rsid w:val="00E26C06"/>
    <w:rsid w:val="00E31095"/>
    <w:rsid w:val="00E31321"/>
    <w:rsid w:val="00E33D21"/>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E172A"/>
    <w:rsid w:val="00EE497F"/>
    <w:rsid w:val="00EF050D"/>
    <w:rsid w:val="00EF0790"/>
    <w:rsid w:val="00EF44E4"/>
    <w:rsid w:val="00F00E76"/>
    <w:rsid w:val="00F051E1"/>
    <w:rsid w:val="00F115CE"/>
    <w:rsid w:val="00F24528"/>
    <w:rsid w:val="00F267B8"/>
    <w:rsid w:val="00F43F1B"/>
    <w:rsid w:val="00F46F68"/>
    <w:rsid w:val="00F4716C"/>
    <w:rsid w:val="00F51ED8"/>
    <w:rsid w:val="00F90E5D"/>
    <w:rsid w:val="00F947D2"/>
    <w:rsid w:val="00F95FFA"/>
    <w:rsid w:val="00FA2445"/>
    <w:rsid w:val="00FA7EC5"/>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C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26C06"/>
    <w:pPr>
      <w:jc w:val="left"/>
    </w:pPr>
  </w:style>
  <w:style w:type="paragraph" w:styleId="a4">
    <w:name w:val="Balloon Text"/>
    <w:basedOn w:val="a"/>
    <w:link w:val="Char0"/>
    <w:uiPriority w:val="99"/>
    <w:semiHidden/>
    <w:unhideWhenUsed/>
    <w:qFormat/>
    <w:rsid w:val="00E26C06"/>
    <w:rPr>
      <w:sz w:val="18"/>
      <w:szCs w:val="18"/>
    </w:rPr>
  </w:style>
  <w:style w:type="paragraph" w:styleId="a5">
    <w:name w:val="footer"/>
    <w:basedOn w:val="a"/>
    <w:link w:val="Char1"/>
    <w:uiPriority w:val="99"/>
    <w:unhideWhenUsed/>
    <w:rsid w:val="00E26C06"/>
    <w:pPr>
      <w:tabs>
        <w:tab w:val="center" w:pos="4153"/>
        <w:tab w:val="right" w:pos="8306"/>
      </w:tabs>
      <w:snapToGrid w:val="0"/>
      <w:jc w:val="left"/>
    </w:pPr>
    <w:rPr>
      <w:sz w:val="18"/>
      <w:szCs w:val="18"/>
    </w:rPr>
  </w:style>
  <w:style w:type="paragraph" w:styleId="a6">
    <w:name w:val="header"/>
    <w:basedOn w:val="a"/>
    <w:link w:val="Char2"/>
    <w:uiPriority w:val="99"/>
    <w:unhideWhenUsed/>
    <w:rsid w:val="00E26C0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26C06"/>
    <w:rPr>
      <w:b/>
      <w:bCs/>
    </w:rPr>
  </w:style>
  <w:style w:type="table" w:styleId="a8">
    <w:name w:val="Table Grid"/>
    <w:basedOn w:val="a1"/>
    <w:uiPriority w:val="59"/>
    <w:qFormat/>
    <w:rsid w:val="00E26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E26C06"/>
    <w:rPr>
      <w:color w:val="0000FF" w:themeColor="hyperlink"/>
      <w:u w:val="single"/>
    </w:rPr>
  </w:style>
  <w:style w:type="character" w:styleId="aa">
    <w:name w:val="annotation reference"/>
    <w:basedOn w:val="a0"/>
    <w:uiPriority w:val="99"/>
    <w:semiHidden/>
    <w:unhideWhenUsed/>
    <w:qFormat/>
    <w:rsid w:val="00E26C06"/>
    <w:rPr>
      <w:sz w:val="21"/>
      <w:szCs w:val="21"/>
    </w:rPr>
  </w:style>
  <w:style w:type="character" w:customStyle="1" w:styleId="Char2">
    <w:name w:val="页眉 Char"/>
    <w:basedOn w:val="a0"/>
    <w:link w:val="a6"/>
    <w:uiPriority w:val="99"/>
    <w:qFormat/>
    <w:rsid w:val="00E26C06"/>
    <w:rPr>
      <w:sz w:val="18"/>
      <w:szCs w:val="18"/>
    </w:rPr>
  </w:style>
  <w:style w:type="character" w:customStyle="1" w:styleId="Char1">
    <w:name w:val="页脚 Char"/>
    <w:basedOn w:val="a0"/>
    <w:link w:val="a5"/>
    <w:uiPriority w:val="99"/>
    <w:qFormat/>
    <w:rsid w:val="00E26C06"/>
    <w:rPr>
      <w:sz w:val="18"/>
      <w:szCs w:val="18"/>
    </w:rPr>
  </w:style>
  <w:style w:type="paragraph" w:styleId="ab">
    <w:name w:val="List Paragraph"/>
    <w:basedOn w:val="a"/>
    <w:uiPriority w:val="34"/>
    <w:qFormat/>
    <w:rsid w:val="00E26C06"/>
    <w:pPr>
      <w:ind w:firstLineChars="200" w:firstLine="420"/>
    </w:pPr>
  </w:style>
  <w:style w:type="character" w:customStyle="1" w:styleId="Char">
    <w:name w:val="批注文字 Char"/>
    <w:basedOn w:val="a0"/>
    <w:link w:val="a3"/>
    <w:uiPriority w:val="99"/>
    <w:semiHidden/>
    <w:qFormat/>
    <w:rsid w:val="00E26C06"/>
  </w:style>
  <w:style w:type="character" w:customStyle="1" w:styleId="Char3">
    <w:name w:val="批注主题 Char"/>
    <w:basedOn w:val="Char"/>
    <w:link w:val="a7"/>
    <w:uiPriority w:val="99"/>
    <w:semiHidden/>
    <w:qFormat/>
    <w:rsid w:val="00E26C06"/>
    <w:rPr>
      <w:b/>
      <w:bCs/>
    </w:rPr>
  </w:style>
  <w:style w:type="character" w:customStyle="1" w:styleId="Char0">
    <w:name w:val="批注框文本 Char"/>
    <w:basedOn w:val="a0"/>
    <w:link w:val="a4"/>
    <w:uiPriority w:val="99"/>
    <w:semiHidden/>
    <w:qFormat/>
    <w:rsid w:val="00E26C06"/>
    <w:rPr>
      <w:sz w:val="18"/>
      <w:szCs w:val="18"/>
    </w:rPr>
  </w:style>
  <w:style w:type="paragraph" w:customStyle="1" w:styleId="Default">
    <w:name w:val="Default"/>
    <w:qFormat/>
    <w:rsid w:val="00E26C06"/>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90168-9BB4-4E76-9B25-DB6E07AF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4</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2025-07-30T16:01:00Z</dcterms:created>
  <dcterms:modified xsi:type="dcterms:W3CDTF">2025-07-30T16:01:00Z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