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EA1" w:rsidRDefault="00825EF8" w:rsidP="00005359">
      <w:pPr>
        <w:spacing w:line="360" w:lineRule="auto"/>
        <w:jc w:val="center"/>
        <w:rPr>
          <w:rStyle w:val="d1"/>
          <w:rFonts w:hAnsi="宋体"/>
          <w:color w:val="000000"/>
          <w:sz w:val="24"/>
          <w:szCs w:val="24"/>
        </w:rPr>
      </w:pPr>
      <w:bookmarkStart w:id="0" w:name="_GoBack"/>
      <w:bookmarkStart w:id="1" w:name="OLE_LINK1"/>
      <w:bookmarkStart w:id="2" w:name="OLE_LINK2"/>
      <w:bookmarkStart w:id="3" w:name="OLE_LINK3"/>
      <w:bookmarkEnd w:id="0"/>
      <w:r w:rsidRPr="00005359">
        <w:rPr>
          <w:rStyle w:val="d1"/>
          <w:rFonts w:hAnsi="宋体"/>
          <w:color w:val="000000"/>
          <w:sz w:val="24"/>
          <w:szCs w:val="24"/>
        </w:rPr>
        <w:t>华夏基金管理有限公司</w:t>
      </w:r>
      <w:r w:rsidR="00E11E8B" w:rsidRPr="00005359">
        <w:rPr>
          <w:rStyle w:val="d1"/>
          <w:rFonts w:hAnsi="宋体" w:hint="eastAsia"/>
          <w:color w:val="auto"/>
          <w:sz w:val="24"/>
          <w:szCs w:val="24"/>
        </w:rPr>
        <w:t>关于</w:t>
      </w:r>
      <w:r w:rsidR="00A214B6" w:rsidRPr="00005359">
        <w:rPr>
          <w:rStyle w:val="d1"/>
          <w:rFonts w:hAnsi="宋体" w:hint="eastAsia"/>
          <w:color w:val="000000"/>
          <w:sz w:val="24"/>
          <w:szCs w:val="24"/>
        </w:rPr>
        <w:t>旗下部分</w:t>
      </w:r>
      <w:r w:rsidR="000A4260">
        <w:rPr>
          <w:rStyle w:val="d1"/>
          <w:rFonts w:hAnsi="宋体" w:hint="eastAsia"/>
          <w:color w:val="000000"/>
          <w:sz w:val="24"/>
          <w:szCs w:val="24"/>
        </w:rPr>
        <w:t>上交所</w:t>
      </w:r>
      <w:r w:rsidR="0034503E">
        <w:rPr>
          <w:rStyle w:val="d1"/>
          <w:rFonts w:hAnsi="宋体" w:hint="eastAsia"/>
          <w:color w:val="000000"/>
          <w:sz w:val="24"/>
          <w:szCs w:val="24"/>
        </w:rPr>
        <w:t>E</w:t>
      </w:r>
      <w:r w:rsidR="00443D48">
        <w:rPr>
          <w:rStyle w:val="d1"/>
          <w:rFonts w:hAnsi="宋体"/>
          <w:color w:val="000000"/>
          <w:sz w:val="24"/>
          <w:szCs w:val="24"/>
        </w:rPr>
        <w:t>TF</w:t>
      </w:r>
    </w:p>
    <w:p w:rsidR="00ED4403" w:rsidRPr="00005359" w:rsidRDefault="00E11E8B" w:rsidP="00005359">
      <w:pPr>
        <w:spacing w:line="360" w:lineRule="auto"/>
        <w:jc w:val="center"/>
        <w:rPr>
          <w:rStyle w:val="d1"/>
          <w:rFonts w:hAnsi="宋体"/>
          <w:color w:val="000000"/>
          <w:sz w:val="24"/>
          <w:szCs w:val="24"/>
        </w:rPr>
      </w:pPr>
      <w:r w:rsidRPr="00005359">
        <w:rPr>
          <w:rStyle w:val="d1"/>
          <w:rFonts w:hAnsi="宋体" w:hint="eastAsia"/>
          <w:color w:val="auto"/>
          <w:sz w:val="24"/>
          <w:szCs w:val="24"/>
        </w:rPr>
        <w:t>新增</w:t>
      </w:r>
      <w:r w:rsidR="000A4260">
        <w:rPr>
          <w:rFonts w:hAnsi="宋体" w:hint="eastAsia"/>
          <w:b/>
          <w:bCs/>
          <w:sz w:val="24"/>
        </w:rPr>
        <w:t>瑞银证券有限责任公司</w:t>
      </w:r>
      <w:r w:rsidR="004D00A3">
        <w:rPr>
          <w:rStyle w:val="d1"/>
          <w:rFonts w:hAnsi="宋体" w:hint="eastAsia"/>
          <w:color w:val="auto"/>
          <w:sz w:val="24"/>
          <w:szCs w:val="24"/>
        </w:rPr>
        <w:t>为</w:t>
      </w:r>
      <w:r w:rsidR="00ED4403" w:rsidRPr="00005359">
        <w:rPr>
          <w:rStyle w:val="d1"/>
          <w:rFonts w:hAnsi="宋体"/>
          <w:color w:val="auto"/>
          <w:sz w:val="24"/>
          <w:szCs w:val="24"/>
        </w:rPr>
        <w:t>申购赎回代办证券公司的公告</w:t>
      </w:r>
      <w:bookmarkEnd w:id="1"/>
    </w:p>
    <w:bookmarkEnd w:id="2"/>
    <w:bookmarkEnd w:id="3"/>
    <w:p w:rsidR="00ED4403" w:rsidRPr="00005359" w:rsidRDefault="00ED4403" w:rsidP="00ED4403">
      <w:pPr>
        <w:spacing w:line="360" w:lineRule="auto"/>
        <w:jc w:val="center"/>
        <w:rPr>
          <w:rStyle w:val="c1"/>
          <w:rFonts w:hAnsi="宋体"/>
          <w:b/>
          <w:bCs/>
          <w:color w:val="auto"/>
          <w:kern w:val="0"/>
          <w:sz w:val="24"/>
          <w:szCs w:val="24"/>
        </w:rPr>
      </w:pPr>
    </w:p>
    <w:p w:rsidR="00737436" w:rsidRPr="00B04C94" w:rsidRDefault="00737436" w:rsidP="00737436">
      <w:pPr>
        <w:pStyle w:val="c"/>
        <w:spacing w:before="0" w:beforeAutospacing="0" w:after="0" w:afterAutospacing="0" w:line="360" w:lineRule="auto"/>
        <w:ind w:firstLineChars="200" w:firstLine="480"/>
        <w:rPr>
          <w:rStyle w:val="c1"/>
          <w:rFonts w:ascii="Times New Roman" w:eastAsia="宋体" w:hAnsi="Times New Roman" w:cs="Times New Roman"/>
          <w:color w:val="auto"/>
          <w:sz w:val="24"/>
          <w:szCs w:val="24"/>
        </w:rPr>
      </w:pPr>
      <w:r w:rsidRPr="00005359">
        <w:rPr>
          <w:rStyle w:val="c1"/>
          <w:rFonts w:ascii="Times New Roman" w:eastAsia="宋体" w:hAnsi="Times New Roman" w:cs="Times New Roman"/>
          <w:color w:val="auto"/>
          <w:sz w:val="24"/>
          <w:szCs w:val="24"/>
        </w:rPr>
        <w:t>自</w:t>
      </w:r>
      <w:r w:rsidR="000A4260">
        <w:rPr>
          <w:rStyle w:val="c1"/>
          <w:rFonts w:ascii="Times New Roman" w:eastAsia="宋体" w:hAnsi="Times New Roman" w:cs="Times New Roman" w:hint="eastAsia"/>
          <w:color w:val="auto"/>
          <w:sz w:val="24"/>
          <w:szCs w:val="24"/>
        </w:rPr>
        <w:t>2025</w:t>
      </w:r>
      <w:r w:rsidR="000A4260">
        <w:rPr>
          <w:rStyle w:val="c1"/>
          <w:rFonts w:ascii="Times New Roman" w:eastAsia="宋体" w:hAnsi="Times New Roman" w:cs="Times New Roman" w:hint="eastAsia"/>
          <w:color w:val="auto"/>
          <w:sz w:val="24"/>
          <w:szCs w:val="24"/>
        </w:rPr>
        <w:t>年</w:t>
      </w:r>
      <w:r w:rsidR="000A4260">
        <w:rPr>
          <w:rStyle w:val="c1"/>
          <w:rFonts w:ascii="Times New Roman" w:eastAsia="宋体" w:hAnsi="Times New Roman" w:cs="Times New Roman" w:hint="eastAsia"/>
          <w:color w:val="auto"/>
          <w:sz w:val="24"/>
          <w:szCs w:val="24"/>
        </w:rPr>
        <w:t>7</w:t>
      </w:r>
      <w:r w:rsidR="000A4260">
        <w:rPr>
          <w:rStyle w:val="c1"/>
          <w:rFonts w:ascii="Times New Roman" w:eastAsia="宋体" w:hAnsi="Times New Roman" w:cs="Times New Roman" w:hint="eastAsia"/>
          <w:color w:val="auto"/>
          <w:sz w:val="24"/>
          <w:szCs w:val="24"/>
        </w:rPr>
        <w:t>月</w:t>
      </w:r>
      <w:r w:rsidR="000A4260">
        <w:rPr>
          <w:rStyle w:val="c1"/>
          <w:rFonts w:ascii="Times New Roman" w:eastAsia="宋体" w:hAnsi="Times New Roman" w:cs="Times New Roman" w:hint="eastAsia"/>
          <w:color w:val="auto"/>
          <w:sz w:val="24"/>
          <w:szCs w:val="24"/>
        </w:rPr>
        <w:t>30</w:t>
      </w:r>
      <w:r w:rsidR="000A4260">
        <w:rPr>
          <w:rStyle w:val="c1"/>
          <w:rFonts w:ascii="Times New Roman" w:eastAsia="宋体" w:hAnsi="Times New Roman" w:cs="Times New Roman" w:hint="eastAsia"/>
          <w:color w:val="auto"/>
          <w:sz w:val="24"/>
          <w:szCs w:val="24"/>
        </w:rPr>
        <w:t>日</w:t>
      </w:r>
      <w:r w:rsidRPr="00005359">
        <w:rPr>
          <w:rStyle w:val="c1"/>
          <w:rFonts w:ascii="Times New Roman" w:eastAsia="宋体" w:hAnsi="Times New Roman" w:cs="Times New Roman"/>
          <w:color w:val="auto"/>
          <w:sz w:val="24"/>
          <w:szCs w:val="24"/>
        </w:rPr>
        <w:t>起，</w:t>
      </w:r>
      <w:r w:rsidR="00B04C94" w:rsidRPr="00B04C94">
        <w:rPr>
          <w:rStyle w:val="c1"/>
          <w:rFonts w:ascii="Times New Roman" w:eastAsia="宋体" w:hAnsi="Times New Roman" w:cs="Times New Roman"/>
          <w:bCs/>
          <w:color w:val="auto"/>
          <w:sz w:val="24"/>
          <w:szCs w:val="24"/>
        </w:rPr>
        <w:t>华夏基金管理有限公司</w:t>
      </w:r>
      <w:r w:rsidR="00B04C94" w:rsidRPr="00B04C94">
        <w:rPr>
          <w:rStyle w:val="c1"/>
          <w:rFonts w:ascii="Times New Roman" w:eastAsia="宋体" w:hAnsi="Times New Roman" w:cs="Times New Roman" w:hint="eastAsia"/>
          <w:bCs/>
          <w:color w:val="auto"/>
          <w:sz w:val="24"/>
          <w:szCs w:val="24"/>
        </w:rPr>
        <w:t>（以下简称“本公司”）</w:t>
      </w:r>
      <w:r w:rsidR="001C100F" w:rsidRPr="00B04C94">
        <w:rPr>
          <w:rStyle w:val="c1"/>
          <w:rFonts w:ascii="Times New Roman" w:eastAsia="宋体" w:hAnsi="Times New Roman" w:cs="Times New Roman"/>
          <w:color w:val="auto"/>
          <w:sz w:val="24"/>
          <w:szCs w:val="24"/>
        </w:rPr>
        <w:t>旗下</w:t>
      </w:r>
      <w:r w:rsidR="00430047">
        <w:rPr>
          <w:rStyle w:val="c1"/>
          <w:rFonts w:ascii="Times New Roman" w:eastAsia="宋体" w:hAnsi="Times New Roman" w:cs="Times New Roman" w:hint="eastAsia"/>
          <w:color w:val="auto"/>
          <w:sz w:val="24"/>
          <w:szCs w:val="24"/>
        </w:rPr>
        <w:t>部分</w:t>
      </w:r>
      <w:r w:rsidR="00715163">
        <w:rPr>
          <w:rStyle w:val="d1"/>
          <w:rFonts w:ascii="宋体" w:eastAsia="宋体" w:hAnsi="宋体" w:hint="eastAsia"/>
          <w:b w:val="0"/>
          <w:color w:val="000000"/>
          <w:sz w:val="24"/>
          <w:szCs w:val="24"/>
        </w:rPr>
        <w:t>上交所</w:t>
      </w:r>
      <w:r w:rsidR="00443D48" w:rsidRPr="00B04C94">
        <w:rPr>
          <w:rStyle w:val="c1"/>
          <w:rFonts w:ascii="Times New Roman" w:eastAsia="宋体" w:hAnsi="Times New Roman" w:cs="Times New Roman"/>
          <w:color w:val="auto"/>
          <w:sz w:val="24"/>
          <w:szCs w:val="24"/>
        </w:rPr>
        <w:t>ETF</w:t>
      </w:r>
      <w:r w:rsidRPr="00B04C94">
        <w:rPr>
          <w:rStyle w:val="c1"/>
          <w:rFonts w:ascii="Times New Roman" w:eastAsia="宋体" w:hAnsi="Times New Roman" w:cs="Times New Roman"/>
          <w:color w:val="auto"/>
          <w:sz w:val="24"/>
          <w:szCs w:val="24"/>
        </w:rPr>
        <w:t>新增</w:t>
      </w:r>
      <w:r w:rsidR="000A4260">
        <w:rPr>
          <w:rFonts w:ascii="Times New Roman" w:eastAsia="宋体" w:hAnsi="Times New Roman" w:cs="Times New Roman" w:hint="eastAsia"/>
          <w:color w:val="auto"/>
          <w:sz w:val="24"/>
          <w:szCs w:val="24"/>
        </w:rPr>
        <w:t>瑞银证券有限责任公司</w:t>
      </w:r>
      <w:r w:rsidR="00E90262" w:rsidRPr="00B04C94">
        <w:rPr>
          <w:rStyle w:val="c1"/>
          <w:rFonts w:ascii="Times New Roman" w:eastAsia="宋体" w:hAnsi="Times New Roman" w:cs="Times New Roman"/>
          <w:color w:val="auto"/>
          <w:sz w:val="24"/>
          <w:szCs w:val="24"/>
        </w:rPr>
        <w:t>为</w:t>
      </w:r>
      <w:r w:rsidR="00062D7F" w:rsidRPr="00B04C94">
        <w:rPr>
          <w:rStyle w:val="c1"/>
          <w:rFonts w:ascii="Times New Roman" w:eastAsia="宋体" w:hAnsi="Times New Roman" w:cs="Times New Roman"/>
          <w:color w:val="auto"/>
          <w:sz w:val="24"/>
          <w:szCs w:val="24"/>
        </w:rPr>
        <w:t>申购赎回代办证券公司</w:t>
      </w:r>
      <w:r w:rsidR="00E90262" w:rsidRPr="00B04C94">
        <w:rPr>
          <w:rStyle w:val="c1"/>
          <w:rFonts w:ascii="Times New Roman" w:eastAsia="宋体" w:hAnsi="Times New Roman" w:cs="Times New Roman"/>
          <w:color w:val="auto"/>
          <w:sz w:val="24"/>
          <w:szCs w:val="24"/>
        </w:rPr>
        <w:t>。</w:t>
      </w:r>
      <w:r w:rsidR="00C0246E" w:rsidRPr="00B04C94">
        <w:rPr>
          <w:rStyle w:val="c1"/>
          <w:rFonts w:ascii="Times New Roman" w:eastAsia="宋体" w:hAnsi="Times New Roman" w:cs="Times New Roman"/>
          <w:color w:val="auto"/>
          <w:sz w:val="24"/>
          <w:szCs w:val="24"/>
        </w:rPr>
        <w:t>具体</w:t>
      </w:r>
      <w:r w:rsidRPr="00B04C94">
        <w:rPr>
          <w:rStyle w:val="c1"/>
          <w:rFonts w:ascii="Times New Roman" w:eastAsia="宋体" w:hAnsi="Times New Roman" w:cs="Times New Roman"/>
          <w:color w:val="auto"/>
          <w:sz w:val="24"/>
          <w:szCs w:val="24"/>
        </w:rPr>
        <w:t>情况如下：</w:t>
      </w:r>
    </w:p>
    <w:p w:rsidR="007C740C" w:rsidRDefault="00731DAE" w:rsidP="00731DAE">
      <w:pPr>
        <w:pStyle w:val="c"/>
        <w:spacing w:before="0" w:beforeAutospacing="0" w:after="0" w:afterAutospacing="0" w:line="360" w:lineRule="auto"/>
        <w:ind w:firstLine="420"/>
        <w:rPr>
          <w:rStyle w:val="c1"/>
          <w:rFonts w:ascii="宋体" w:eastAsia="宋体" w:hAnsi="宋体" w:cs="Times New Roman"/>
          <w:color w:val="auto"/>
          <w:sz w:val="24"/>
          <w:szCs w:val="24"/>
        </w:rPr>
      </w:pPr>
      <w:r>
        <w:rPr>
          <w:rStyle w:val="c1"/>
          <w:rFonts w:ascii="宋体" w:eastAsia="宋体" w:hAnsi="宋体" w:cs="Times New Roman" w:hint="eastAsia"/>
          <w:color w:val="auto"/>
          <w:sz w:val="24"/>
          <w:szCs w:val="24"/>
        </w:rPr>
        <w:t>一、</w:t>
      </w:r>
      <w:r w:rsidR="004D00A3">
        <w:rPr>
          <w:rStyle w:val="c1"/>
          <w:rFonts w:ascii="宋体" w:eastAsia="宋体" w:hAnsi="宋体" w:cs="Times New Roman" w:hint="eastAsia"/>
          <w:color w:val="auto"/>
          <w:sz w:val="24"/>
          <w:szCs w:val="24"/>
        </w:rPr>
        <w:t>涉及基金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5"/>
        <w:gridCol w:w="3102"/>
        <w:gridCol w:w="2045"/>
        <w:gridCol w:w="2394"/>
      </w:tblGrid>
      <w:tr w:rsidR="004D00A3" w:rsidRPr="00B42640" w:rsidTr="008E5600">
        <w:trPr>
          <w:jc w:val="center"/>
        </w:trPr>
        <w:tc>
          <w:tcPr>
            <w:tcW w:w="785" w:type="pct"/>
            <w:shd w:val="clear" w:color="auto" w:fill="auto"/>
            <w:vAlign w:val="center"/>
          </w:tcPr>
          <w:p w:rsidR="004D00A3" w:rsidRPr="00B42640" w:rsidRDefault="004D00A3" w:rsidP="00B42640">
            <w:pPr>
              <w:pStyle w:val="c"/>
              <w:spacing w:before="0" w:beforeAutospacing="0" w:after="0" w:afterAutospacing="0" w:line="360" w:lineRule="auto"/>
              <w:jc w:val="center"/>
              <w:rPr>
                <w:rStyle w:val="c1"/>
                <w:rFonts w:ascii="宋体" w:eastAsia="宋体" w:hAnsi="宋体"/>
                <w:color w:val="auto"/>
                <w:sz w:val="21"/>
                <w:szCs w:val="21"/>
              </w:rPr>
            </w:pPr>
            <w:r w:rsidRPr="00B42640">
              <w:rPr>
                <w:rFonts w:ascii="宋体" w:eastAsia="宋体" w:hAnsi="宋体" w:cs="Times New Roman"/>
                <w:b/>
                <w:sz w:val="21"/>
                <w:szCs w:val="21"/>
              </w:rPr>
              <w:t>基金</w:t>
            </w:r>
            <w:r w:rsidRPr="00B42640">
              <w:rPr>
                <w:rFonts w:ascii="宋体" w:eastAsia="宋体" w:hAnsi="宋体" w:cs="微软雅黑" w:hint="eastAsia"/>
                <w:b/>
                <w:sz w:val="21"/>
                <w:szCs w:val="21"/>
              </w:rPr>
              <w:t>代码</w:t>
            </w:r>
          </w:p>
        </w:tc>
        <w:tc>
          <w:tcPr>
            <w:tcW w:w="1734" w:type="pct"/>
            <w:shd w:val="clear" w:color="auto" w:fill="auto"/>
            <w:vAlign w:val="center"/>
          </w:tcPr>
          <w:p w:rsidR="004D00A3" w:rsidRPr="00B42640" w:rsidRDefault="004D00A3" w:rsidP="00353A73">
            <w:pPr>
              <w:spacing w:line="360" w:lineRule="auto"/>
              <w:jc w:val="center"/>
              <w:outlineLvl w:val="0"/>
              <w:rPr>
                <w:rStyle w:val="c1"/>
                <w:rFonts w:ascii="宋体" w:hAnsi="宋体"/>
                <w:color w:val="auto"/>
                <w:sz w:val="21"/>
                <w:szCs w:val="21"/>
              </w:rPr>
            </w:pPr>
            <w:r w:rsidRPr="00B42640">
              <w:rPr>
                <w:rFonts w:ascii="宋体" w:hAnsi="宋体"/>
                <w:b/>
                <w:color w:val="000000"/>
                <w:kern w:val="0"/>
                <w:szCs w:val="21"/>
              </w:rPr>
              <w:t>基金全称</w:t>
            </w:r>
          </w:p>
        </w:tc>
        <w:tc>
          <w:tcPr>
            <w:tcW w:w="1143" w:type="pct"/>
            <w:shd w:val="clear" w:color="auto" w:fill="auto"/>
            <w:vAlign w:val="center"/>
          </w:tcPr>
          <w:p w:rsidR="004D00A3" w:rsidRPr="00B42640" w:rsidRDefault="004D00A3" w:rsidP="00353A73">
            <w:pPr>
              <w:spacing w:line="360" w:lineRule="auto"/>
              <w:jc w:val="center"/>
              <w:outlineLvl w:val="0"/>
              <w:rPr>
                <w:rStyle w:val="c1"/>
                <w:rFonts w:ascii="宋体" w:hAnsi="宋体"/>
                <w:color w:val="auto"/>
                <w:sz w:val="21"/>
                <w:szCs w:val="21"/>
              </w:rPr>
            </w:pPr>
            <w:r w:rsidRPr="00B42640">
              <w:rPr>
                <w:rFonts w:ascii="宋体" w:hAnsi="宋体"/>
                <w:b/>
                <w:color w:val="000000"/>
                <w:kern w:val="0"/>
                <w:szCs w:val="21"/>
              </w:rPr>
              <w:t>场内简称</w:t>
            </w:r>
          </w:p>
        </w:tc>
        <w:tc>
          <w:tcPr>
            <w:tcW w:w="1338" w:type="pct"/>
            <w:vAlign w:val="center"/>
          </w:tcPr>
          <w:p w:rsidR="004D00A3" w:rsidRPr="00B42640" w:rsidRDefault="004D00A3" w:rsidP="00353A73">
            <w:pPr>
              <w:spacing w:line="360" w:lineRule="auto"/>
              <w:jc w:val="center"/>
              <w:outlineLvl w:val="0"/>
              <w:rPr>
                <w:rFonts w:ascii="宋体" w:hAnsi="宋体"/>
                <w:b/>
                <w:color w:val="000000"/>
                <w:kern w:val="0"/>
                <w:szCs w:val="21"/>
              </w:rPr>
            </w:pPr>
            <w:r w:rsidRPr="00B42640">
              <w:rPr>
                <w:rFonts w:ascii="宋体" w:hAnsi="宋体" w:hint="eastAsia"/>
                <w:b/>
                <w:color w:val="000000"/>
                <w:kern w:val="0"/>
                <w:szCs w:val="21"/>
              </w:rPr>
              <w:t>扩位简称</w:t>
            </w:r>
          </w:p>
        </w:tc>
      </w:tr>
      <w:tr w:rsidR="004D00A3" w:rsidTr="008E5600">
        <w:trPr>
          <w:jc w:val="center"/>
        </w:trPr>
        <w:tc>
          <w:tcPr>
            <w:tcW w:w="785" w:type="pct"/>
            <w:vAlign w:val="center"/>
          </w:tcPr>
          <w:p w:rsidR="00C02E0F" w:rsidRDefault="00C80494">
            <w:pPr>
              <w:jc w:val="center"/>
            </w:pPr>
            <w:r>
              <w:t>510330</w:t>
            </w:r>
          </w:p>
        </w:tc>
        <w:tc>
          <w:tcPr>
            <w:tcW w:w="1734" w:type="pct"/>
          </w:tcPr>
          <w:p w:rsidR="00C02E0F" w:rsidRDefault="00C80494">
            <w:r>
              <w:t>华夏沪深</w:t>
            </w:r>
            <w:r>
              <w:t>300</w:t>
            </w:r>
            <w:r>
              <w:t>交易型开放式指数证券投资基金</w:t>
            </w:r>
          </w:p>
        </w:tc>
        <w:tc>
          <w:tcPr>
            <w:tcW w:w="1143" w:type="pct"/>
            <w:vAlign w:val="center"/>
          </w:tcPr>
          <w:p w:rsidR="00C02E0F" w:rsidRDefault="00C80494">
            <w:r>
              <w:t>华夏</w:t>
            </w:r>
            <w:r>
              <w:t>300</w:t>
            </w:r>
          </w:p>
        </w:tc>
        <w:tc>
          <w:tcPr>
            <w:tcW w:w="1338" w:type="pct"/>
            <w:vAlign w:val="center"/>
          </w:tcPr>
          <w:p w:rsidR="00C02E0F" w:rsidRDefault="00C80494">
            <w:r>
              <w:t>沪深</w:t>
            </w:r>
            <w:r>
              <w:t>300ETF</w:t>
            </w:r>
            <w:r>
              <w:t>华夏</w:t>
            </w:r>
          </w:p>
        </w:tc>
      </w:tr>
      <w:tr w:rsidR="00C02E0F">
        <w:trPr>
          <w:jc w:val="center"/>
        </w:trPr>
        <w:tc>
          <w:tcPr>
            <w:tcW w:w="1405" w:type="dxa"/>
            <w:vAlign w:val="center"/>
          </w:tcPr>
          <w:p w:rsidR="00C02E0F" w:rsidRDefault="00C80494">
            <w:pPr>
              <w:jc w:val="center"/>
            </w:pPr>
            <w:r>
              <w:t>510630</w:t>
            </w:r>
          </w:p>
        </w:tc>
        <w:tc>
          <w:tcPr>
            <w:tcW w:w="3102" w:type="dxa"/>
          </w:tcPr>
          <w:p w:rsidR="00C02E0F" w:rsidRDefault="00C80494">
            <w:r>
              <w:t>上证主要消费交易型开放式指数发起式证券投资基金</w:t>
            </w:r>
          </w:p>
        </w:tc>
        <w:tc>
          <w:tcPr>
            <w:tcW w:w="2045" w:type="dxa"/>
            <w:vAlign w:val="center"/>
          </w:tcPr>
          <w:p w:rsidR="00C02E0F" w:rsidRDefault="00C80494">
            <w:r>
              <w:t>消费</w:t>
            </w:r>
            <w:r>
              <w:t>30</w:t>
            </w:r>
          </w:p>
        </w:tc>
        <w:tc>
          <w:tcPr>
            <w:tcW w:w="2394" w:type="dxa"/>
            <w:vAlign w:val="center"/>
          </w:tcPr>
          <w:p w:rsidR="00C02E0F" w:rsidRDefault="00C80494">
            <w:r>
              <w:t>消费</w:t>
            </w:r>
            <w:r>
              <w:t>30ETF</w:t>
            </w:r>
          </w:p>
        </w:tc>
      </w:tr>
      <w:tr w:rsidR="00C02E0F">
        <w:trPr>
          <w:jc w:val="center"/>
        </w:trPr>
        <w:tc>
          <w:tcPr>
            <w:tcW w:w="1405" w:type="dxa"/>
            <w:vAlign w:val="center"/>
          </w:tcPr>
          <w:p w:rsidR="00C02E0F" w:rsidRDefault="00C80494">
            <w:pPr>
              <w:jc w:val="center"/>
            </w:pPr>
            <w:r>
              <w:t>510650</w:t>
            </w:r>
          </w:p>
        </w:tc>
        <w:tc>
          <w:tcPr>
            <w:tcW w:w="3102" w:type="dxa"/>
          </w:tcPr>
          <w:p w:rsidR="00C02E0F" w:rsidRDefault="00C80494">
            <w:r>
              <w:t>上证金融地产交易型开放式指数发起式证券投资基金</w:t>
            </w:r>
          </w:p>
        </w:tc>
        <w:tc>
          <w:tcPr>
            <w:tcW w:w="2045" w:type="dxa"/>
            <w:vAlign w:val="center"/>
          </w:tcPr>
          <w:p w:rsidR="00C02E0F" w:rsidRDefault="00C80494">
            <w:r>
              <w:t>金融行业</w:t>
            </w:r>
          </w:p>
        </w:tc>
        <w:tc>
          <w:tcPr>
            <w:tcW w:w="2394" w:type="dxa"/>
            <w:vAlign w:val="center"/>
          </w:tcPr>
          <w:p w:rsidR="00C02E0F" w:rsidRDefault="00C80494">
            <w:r>
              <w:t>金融地产</w:t>
            </w:r>
            <w:r>
              <w:t>ETF</w:t>
            </w:r>
          </w:p>
        </w:tc>
      </w:tr>
      <w:tr w:rsidR="00C02E0F">
        <w:trPr>
          <w:jc w:val="center"/>
        </w:trPr>
        <w:tc>
          <w:tcPr>
            <w:tcW w:w="1405" w:type="dxa"/>
            <w:vAlign w:val="center"/>
          </w:tcPr>
          <w:p w:rsidR="00C02E0F" w:rsidRDefault="00C80494">
            <w:pPr>
              <w:jc w:val="center"/>
            </w:pPr>
            <w:r>
              <w:t>510660</w:t>
            </w:r>
          </w:p>
        </w:tc>
        <w:tc>
          <w:tcPr>
            <w:tcW w:w="3102" w:type="dxa"/>
          </w:tcPr>
          <w:p w:rsidR="00C02E0F" w:rsidRDefault="00C80494">
            <w:r>
              <w:t>上证医药卫生交易型开放式指数发起式证券投资基金</w:t>
            </w:r>
          </w:p>
        </w:tc>
        <w:tc>
          <w:tcPr>
            <w:tcW w:w="2045" w:type="dxa"/>
            <w:vAlign w:val="center"/>
          </w:tcPr>
          <w:p w:rsidR="00C02E0F" w:rsidRDefault="00C80494">
            <w:r>
              <w:t>医药行业</w:t>
            </w:r>
          </w:p>
        </w:tc>
        <w:tc>
          <w:tcPr>
            <w:tcW w:w="2394" w:type="dxa"/>
            <w:vAlign w:val="center"/>
          </w:tcPr>
          <w:p w:rsidR="00C02E0F" w:rsidRDefault="00C80494">
            <w:r>
              <w:t>医药卫生</w:t>
            </w:r>
            <w:r>
              <w:t>ETF</w:t>
            </w:r>
          </w:p>
        </w:tc>
      </w:tr>
      <w:tr w:rsidR="00C02E0F">
        <w:trPr>
          <w:jc w:val="center"/>
        </w:trPr>
        <w:tc>
          <w:tcPr>
            <w:tcW w:w="1405" w:type="dxa"/>
            <w:vAlign w:val="center"/>
          </w:tcPr>
          <w:p w:rsidR="00C02E0F" w:rsidRDefault="00C80494">
            <w:pPr>
              <w:jc w:val="center"/>
            </w:pPr>
            <w:r>
              <w:t>512050</w:t>
            </w:r>
          </w:p>
        </w:tc>
        <w:tc>
          <w:tcPr>
            <w:tcW w:w="3102" w:type="dxa"/>
          </w:tcPr>
          <w:p w:rsidR="00C02E0F" w:rsidRDefault="00C80494">
            <w:r>
              <w:t>华夏中证</w:t>
            </w:r>
            <w:r>
              <w:t>A500</w:t>
            </w:r>
            <w:r>
              <w:t>交易型开放式指数证券投资基金</w:t>
            </w:r>
          </w:p>
        </w:tc>
        <w:tc>
          <w:tcPr>
            <w:tcW w:w="2045" w:type="dxa"/>
            <w:vAlign w:val="center"/>
          </w:tcPr>
          <w:p w:rsidR="00C02E0F" w:rsidRDefault="00C80494">
            <w:r>
              <w:t>A500E</w:t>
            </w:r>
          </w:p>
        </w:tc>
        <w:tc>
          <w:tcPr>
            <w:tcW w:w="2394" w:type="dxa"/>
            <w:vAlign w:val="center"/>
          </w:tcPr>
          <w:p w:rsidR="00C02E0F" w:rsidRDefault="00C80494">
            <w:r>
              <w:t>A500ETF</w:t>
            </w:r>
            <w:r>
              <w:t>基金</w:t>
            </w:r>
          </w:p>
        </w:tc>
      </w:tr>
      <w:tr w:rsidR="00C02E0F">
        <w:trPr>
          <w:jc w:val="center"/>
        </w:trPr>
        <w:tc>
          <w:tcPr>
            <w:tcW w:w="1405" w:type="dxa"/>
            <w:vAlign w:val="center"/>
          </w:tcPr>
          <w:p w:rsidR="00C02E0F" w:rsidRDefault="00C80494">
            <w:pPr>
              <w:jc w:val="center"/>
            </w:pPr>
            <w:r>
              <w:t>512500</w:t>
            </w:r>
          </w:p>
        </w:tc>
        <w:tc>
          <w:tcPr>
            <w:tcW w:w="3102" w:type="dxa"/>
          </w:tcPr>
          <w:p w:rsidR="00C02E0F" w:rsidRDefault="00C80494">
            <w:r>
              <w:t>华夏中证</w:t>
            </w:r>
            <w:r>
              <w:t>500</w:t>
            </w:r>
            <w:r>
              <w:t>交易型开放式指数证券投资基金</w:t>
            </w:r>
          </w:p>
        </w:tc>
        <w:tc>
          <w:tcPr>
            <w:tcW w:w="2045" w:type="dxa"/>
            <w:vAlign w:val="center"/>
          </w:tcPr>
          <w:p w:rsidR="00C02E0F" w:rsidRDefault="00C80494">
            <w:r>
              <w:t>中证</w:t>
            </w:r>
            <w:r>
              <w:t>500</w:t>
            </w:r>
          </w:p>
        </w:tc>
        <w:tc>
          <w:tcPr>
            <w:tcW w:w="2394" w:type="dxa"/>
            <w:vAlign w:val="center"/>
          </w:tcPr>
          <w:p w:rsidR="00C02E0F" w:rsidRDefault="00C80494">
            <w:r>
              <w:t>中证</w:t>
            </w:r>
            <w:r>
              <w:t>500ETF</w:t>
            </w:r>
            <w:r>
              <w:t>华夏</w:t>
            </w:r>
          </w:p>
        </w:tc>
      </w:tr>
      <w:tr w:rsidR="00C02E0F">
        <w:trPr>
          <w:jc w:val="center"/>
        </w:trPr>
        <w:tc>
          <w:tcPr>
            <w:tcW w:w="1405" w:type="dxa"/>
            <w:vAlign w:val="center"/>
          </w:tcPr>
          <w:p w:rsidR="00C02E0F" w:rsidRDefault="00C80494">
            <w:pPr>
              <w:jc w:val="center"/>
            </w:pPr>
            <w:r>
              <w:t>512770</w:t>
            </w:r>
          </w:p>
        </w:tc>
        <w:tc>
          <w:tcPr>
            <w:tcW w:w="3102" w:type="dxa"/>
          </w:tcPr>
          <w:p w:rsidR="00C02E0F" w:rsidRDefault="00C80494">
            <w:r>
              <w:t>战略新兴成指交易型开放式指数证券投资基金</w:t>
            </w:r>
          </w:p>
        </w:tc>
        <w:tc>
          <w:tcPr>
            <w:tcW w:w="2045" w:type="dxa"/>
            <w:vAlign w:val="center"/>
          </w:tcPr>
          <w:p w:rsidR="00C02E0F" w:rsidRDefault="00C80494">
            <w:r>
              <w:t>战略新兴</w:t>
            </w:r>
          </w:p>
        </w:tc>
        <w:tc>
          <w:tcPr>
            <w:tcW w:w="2394" w:type="dxa"/>
            <w:vAlign w:val="center"/>
          </w:tcPr>
          <w:p w:rsidR="00C02E0F" w:rsidRDefault="00C80494">
            <w:r>
              <w:t>战略新兴</w:t>
            </w:r>
            <w:r>
              <w:t>ETF</w:t>
            </w:r>
          </w:p>
        </w:tc>
      </w:tr>
      <w:tr w:rsidR="00C02E0F">
        <w:trPr>
          <w:jc w:val="center"/>
        </w:trPr>
        <w:tc>
          <w:tcPr>
            <w:tcW w:w="1405" w:type="dxa"/>
            <w:vAlign w:val="center"/>
          </w:tcPr>
          <w:p w:rsidR="00C02E0F" w:rsidRDefault="00C80494">
            <w:pPr>
              <w:jc w:val="center"/>
            </w:pPr>
            <w:r>
              <w:t>512950</w:t>
            </w:r>
          </w:p>
        </w:tc>
        <w:tc>
          <w:tcPr>
            <w:tcW w:w="3102" w:type="dxa"/>
          </w:tcPr>
          <w:p w:rsidR="00C02E0F" w:rsidRDefault="00C80494">
            <w:r>
              <w:t>华夏中证央企结构调整交易型开放式指数证券投资基金</w:t>
            </w:r>
          </w:p>
        </w:tc>
        <w:tc>
          <w:tcPr>
            <w:tcW w:w="2045" w:type="dxa"/>
            <w:vAlign w:val="center"/>
          </w:tcPr>
          <w:p w:rsidR="00C02E0F" w:rsidRDefault="00C80494">
            <w:r>
              <w:t>央企改革</w:t>
            </w:r>
          </w:p>
        </w:tc>
        <w:tc>
          <w:tcPr>
            <w:tcW w:w="2394" w:type="dxa"/>
            <w:vAlign w:val="center"/>
          </w:tcPr>
          <w:p w:rsidR="00C02E0F" w:rsidRDefault="00C80494">
            <w:r>
              <w:t>央企改革</w:t>
            </w:r>
            <w:r>
              <w:t>ETF</w:t>
            </w:r>
          </w:p>
        </w:tc>
      </w:tr>
      <w:tr w:rsidR="00C02E0F">
        <w:trPr>
          <w:jc w:val="center"/>
        </w:trPr>
        <w:tc>
          <w:tcPr>
            <w:tcW w:w="1405" w:type="dxa"/>
            <w:vAlign w:val="center"/>
          </w:tcPr>
          <w:p w:rsidR="00C02E0F" w:rsidRDefault="00C80494">
            <w:pPr>
              <w:jc w:val="center"/>
            </w:pPr>
            <w:r>
              <w:t>512990</w:t>
            </w:r>
          </w:p>
        </w:tc>
        <w:tc>
          <w:tcPr>
            <w:tcW w:w="3102" w:type="dxa"/>
          </w:tcPr>
          <w:p w:rsidR="00C02E0F" w:rsidRDefault="00C80494">
            <w:r>
              <w:t>华夏</w:t>
            </w:r>
            <w:r>
              <w:t>MSCI</w:t>
            </w:r>
            <w:r>
              <w:t>中国</w:t>
            </w:r>
            <w:r>
              <w:t>A</w:t>
            </w:r>
            <w:r>
              <w:t>股国际通交易型开放式指数证券投资基金</w:t>
            </w:r>
          </w:p>
        </w:tc>
        <w:tc>
          <w:tcPr>
            <w:tcW w:w="2045" w:type="dxa"/>
            <w:vAlign w:val="center"/>
          </w:tcPr>
          <w:p w:rsidR="00C02E0F" w:rsidRDefault="00C80494">
            <w:r>
              <w:t>MSCIA</w:t>
            </w:r>
            <w:r>
              <w:t>股</w:t>
            </w:r>
          </w:p>
        </w:tc>
        <w:tc>
          <w:tcPr>
            <w:tcW w:w="2394" w:type="dxa"/>
            <w:vAlign w:val="center"/>
          </w:tcPr>
          <w:p w:rsidR="00C02E0F" w:rsidRDefault="00C80494">
            <w:r>
              <w:t>MSCI A</w:t>
            </w:r>
            <w:r>
              <w:t>股</w:t>
            </w:r>
            <w:r>
              <w:t>ETF</w:t>
            </w:r>
          </w:p>
        </w:tc>
      </w:tr>
      <w:tr w:rsidR="00C02E0F">
        <w:trPr>
          <w:jc w:val="center"/>
        </w:trPr>
        <w:tc>
          <w:tcPr>
            <w:tcW w:w="1405" w:type="dxa"/>
            <w:vAlign w:val="center"/>
          </w:tcPr>
          <w:p w:rsidR="00C02E0F" w:rsidRDefault="00C80494">
            <w:pPr>
              <w:jc w:val="center"/>
            </w:pPr>
            <w:r>
              <w:t>513180</w:t>
            </w:r>
          </w:p>
        </w:tc>
        <w:tc>
          <w:tcPr>
            <w:tcW w:w="3102" w:type="dxa"/>
          </w:tcPr>
          <w:p w:rsidR="00C02E0F" w:rsidRDefault="00C80494">
            <w:r>
              <w:t>华夏恒生科技交易型开放式指数证券投资基金（</w:t>
            </w:r>
            <w:r>
              <w:t>QDII</w:t>
            </w:r>
            <w:r>
              <w:t>）</w:t>
            </w:r>
          </w:p>
        </w:tc>
        <w:tc>
          <w:tcPr>
            <w:tcW w:w="2045" w:type="dxa"/>
            <w:vAlign w:val="center"/>
          </w:tcPr>
          <w:p w:rsidR="00C02E0F" w:rsidRDefault="00C80494">
            <w:r>
              <w:t>恒指科技</w:t>
            </w:r>
          </w:p>
        </w:tc>
        <w:tc>
          <w:tcPr>
            <w:tcW w:w="2394" w:type="dxa"/>
            <w:vAlign w:val="center"/>
          </w:tcPr>
          <w:p w:rsidR="00C02E0F" w:rsidRDefault="00C80494">
            <w:r>
              <w:t>恒生科技指数</w:t>
            </w:r>
            <w:r>
              <w:t>ETF</w:t>
            </w:r>
          </w:p>
        </w:tc>
      </w:tr>
      <w:tr w:rsidR="00C02E0F">
        <w:trPr>
          <w:jc w:val="center"/>
        </w:trPr>
        <w:tc>
          <w:tcPr>
            <w:tcW w:w="1405" w:type="dxa"/>
            <w:vAlign w:val="center"/>
          </w:tcPr>
          <w:p w:rsidR="00C02E0F" w:rsidRDefault="00C80494">
            <w:pPr>
              <w:jc w:val="center"/>
            </w:pPr>
            <w:r>
              <w:t>513190</w:t>
            </w:r>
          </w:p>
        </w:tc>
        <w:tc>
          <w:tcPr>
            <w:tcW w:w="3102" w:type="dxa"/>
          </w:tcPr>
          <w:p w:rsidR="00C02E0F" w:rsidRDefault="00C80494">
            <w:r>
              <w:t>华夏中证港股通内地金融交易型开放式指数证券投资基金</w:t>
            </w:r>
          </w:p>
        </w:tc>
        <w:tc>
          <w:tcPr>
            <w:tcW w:w="2045" w:type="dxa"/>
            <w:vAlign w:val="center"/>
          </w:tcPr>
          <w:p w:rsidR="00C02E0F" w:rsidRDefault="00C80494">
            <w:r>
              <w:t>H</w:t>
            </w:r>
            <w:r>
              <w:t>股金融</w:t>
            </w:r>
          </w:p>
        </w:tc>
        <w:tc>
          <w:tcPr>
            <w:tcW w:w="2394" w:type="dxa"/>
            <w:vAlign w:val="center"/>
          </w:tcPr>
          <w:p w:rsidR="00C02E0F" w:rsidRDefault="00C80494">
            <w:r>
              <w:t>港股通金融</w:t>
            </w:r>
            <w:r>
              <w:t>ETF</w:t>
            </w:r>
          </w:p>
        </w:tc>
      </w:tr>
      <w:tr w:rsidR="00C02E0F">
        <w:trPr>
          <w:jc w:val="center"/>
        </w:trPr>
        <w:tc>
          <w:tcPr>
            <w:tcW w:w="1405" w:type="dxa"/>
            <w:vAlign w:val="center"/>
          </w:tcPr>
          <w:p w:rsidR="00C02E0F" w:rsidRDefault="00C80494">
            <w:pPr>
              <w:jc w:val="center"/>
            </w:pPr>
            <w:r>
              <w:t>513230</w:t>
            </w:r>
          </w:p>
        </w:tc>
        <w:tc>
          <w:tcPr>
            <w:tcW w:w="3102" w:type="dxa"/>
          </w:tcPr>
          <w:p w:rsidR="00C02E0F" w:rsidRDefault="00C80494">
            <w:r>
              <w:t>华夏中证港股通消费主题交易型开放式指数证券投资基金</w:t>
            </w:r>
          </w:p>
        </w:tc>
        <w:tc>
          <w:tcPr>
            <w:tcW w:w="2045" w:type="dxa"/>
            <w:vAlign w:val="center"/>
          </w:tcPr>
          <w:p w:rsidR="00C02E0F" w:rsidRDefault="00C80494">
            <w:r>
              <w:t>H</w:t>
            </w:r>
            <w:r>
              <w:t>股消费</w:t>
            </w:r>
          </w:p>
        </w:tc>
        <w:tc>
          <w:tcPr>
            <w:tcW w:w="2394" w:type="dxa"/>
            <w:vAlign w:val="center"/>
          </w:tcPr>
          <w:p w:rsidR="00C02E0F" w:rsidRDefault="00C80494">
            <w:r>
              <w:t>港股消费</w:t>
            </w:r>
            <w:r>
              <w:t>ETF</w:t>
            </w:r>
          </w:p>
        </w:tc>
      </w:tr>
      <w:tr w:rsidR="00C02E0F">
        <w:trPr>
          <w:jc w:val="center"/>
        </w:trPr>
        <w:tc>
          <w:tcPr>
            <w:tcW w:w="1405" w:type="dxa"/>
            <w:vAlign w:val="center"/>
          </w:tcPr>
          <w:p w:rsidR="00C02E0F" w:rsidRDefault="00C80494">
            <w:pPr>
              <w:jc w:val="center"/>
            </w:pPr>
            <w:r>
              <w:t>513300</w:t>
            </w:r>
          </w:p>
        </w:tc>
        <w:tc>
          <w:tcPr>
            <w:tcW w:w="3102" w:type="dxa"/>
          </w:tcPr>
          <w:p w:rsidR="00C02E0F" w:rsidRDefault="00C80494">
            <w:r>
              <w:t>华夏纳斯达克</w:t>
            </w:r>
            <w:r>
              <w:t>100</w:t>
            </w:r>
            <w:r>
              <w:t>交易型开放式指数证券投资基金（</w:t>
            </w:r>
            <w:r>
              <w:t>QDII</w:t>
            </w:r>
            <w:r>
              <w:t>）</w:t>
            </w:r>
          </w:p>
        </w:tc>
        <w:tc>
          <w:tcPr>
            <w:tcW w:w="2045" w:type="dxa"/>
            <w:vAlign w:val="center"/>
          </w:tcPr>
          <w:p w:rsidR="00C02E0F" w:rsidRDefault="00C80494">
            <w:r>
              <w:t>纳斯达克</w:t>
            </w:r>
          </w:p>
        </w:tc>
        <w:tc>
          <w:tcPr>
            <w:tcW w:w="2394" w:type="dxa"/>
            <w:vAlign w:val="center"/>
          </w:tcPr>
          <w:p w:rsidR="00C02E0F" w:rsidRDefault="00C80494">
            <w:r>
              <w:t>纳斯达克</w:t>
            </w:r>
            <w:r>
              <w:t>ETF</w:t>
            </w:r>
          </w:p>
        </w:tc>
      </w:tr>
      <w:tr w:rsidR="00C02E0F">
        <w:trPr>
          <w:jc w:val="center"/>
        </w:trPr>
        <w:tc>
          <w:tcPr>
            <w:tcW w:w="1405" w:type="dxa"/>
            <w:vAlign w:val="center"/>
          </w:tcPr>
          <w:p w:rsidR="00C02E0F" w:rsidRDefault="00C80494">
            <w:pPr>
              <w:jc w:val="center"/>
            </w:pPr>
            <w:r>
              <w:t>513330</w:t>
            </w:r>
          </w:p>
        </w:tc>
        <w:tc>
          <w:tcPr>
            <w:tcW w:w="3102" w:type="dxa"/>
          </w:tcPr>
          <w:p w:rsidR="00C02E0F" w:rsidRDefault="00C80494">
            <w:r>
              <w:t>华夏恒生互联网科技业交易型开放式指数证券投资基金（</w:t>
            </w:r>
            <w:r>
              <w:t>QDII</w:t>
            </w:r>
            <w:r>
              <w:t>）</w:t>
            </w:r>
          </w:p>
        </w:tc>
        <w:tc>
          <w:tcPr>
            <w:tcW w:w="2045" w:type="dxa"/>
            <w:vAlign w:val="center"/>
          </w:tcPr>
          <w:p w:rsidR="00C02E0F" w:rsidRDefault="00C80494">
            <w:r>
              <w:t>恒生互联</w:t>
            </w:r>
          </w:p>
        </w:tc>
        <w:tc>
          <w:tcPr>
            <w:tcW w:w="2394" w:type="dxa"/>
            <w:vAlign w:val="center"/>
          </w:tcPr>
          <w:p w:rsidR="00C02E0F" w:rsidRDefault="00C80494">
            <w:r>
              <w:t>恒生互联网</w:t>
            </w:r>
            <w:r>
              <w:t>ETF</w:t>
            </w:r>
          </w:p>
        </w:tc>
      </w:tr>
      <w:tr w:rsidR="00C02E0F">
        <w:trPr>
          <w:jc w:val="center"/>
        </w:trPr>
        <w:tc>
          <w:tcPr>
            <w:tcW w:w="1405" w:type="dxa"/>
            <w:vAlign w:val="center"/>
          </w:tcPr>
          <w:p w:rsidR="00C02E0F" w:rsidRDefault="00C80494">
            <w:pPr>
              <w:jc w:val="center"/>
            </w:pPr>
            <w:r>
              <w:t>513520</w:t>
            </w:r>
          </w:p>
        </w:tc>
        <w:tc>
          <w:tcPr>
            <w:tcW w:w="3102" w:type="dxa"/>
          </w:tcPr>
          <w:p w:rsidR="00C02E0F" w:rsidRDefault="00C80494">
            <w:r>
              <w:t>华夏野村日经</w:t>
            </w:r>
            <w:r>
              <w:t>225</w:t>
            </w:r>
            <w:r>
              <w:t>交易型开放式指数证券投资基金（</w:t>
            </w:r>
            <w:r>
              <w:t>QDII</w:t>
            </w:r>
            <w:r>
              <w:t>）</w:t>
            </w:r>
          </w:p>
        </w:tc>
        <w:tc>
          <w:tcPr>
            <w:tcW w:w="2045" w:type="dxa"/>
            <w:vAlign w:val="center"/>
          </w:tcPr>
          <w:p w:rsidR="00C02E0F" w:rsidRDefault="00C80494">
            <w:r>
              <w:t>日经</w:t>
            </w:r>
            <w:r>
              <w:t>ETF</w:t>
            </w:r>
          </w:p>
        </w:tc>
        <w:tc>
          <w:tcPr>
            <w:tcW w:w="2394" w:type="dxa"/>
            <w:vAlign w:val="center"/>
          </w:tcPr>
          <w:p w:rsidR="00C02E0F" w:rsidRDefault="00C80494">
            <w:r>
              <w:t>日经</w:t>
            </w:r>
            <w:r>
              <w:t>ETF</w:t>
            </w:r>
          </w:p>
        </w:tc>
      </w:tr>
      <w:tr w:rsidR="00C02E0F">
        <w:trPr>
          <w:jc w:val="center"/>
        </w:trPr>
        <w:tc>
          <w:tcPr>
            <w:tcW w:w="1405" w:type="dxa"/>
            <w:vAlign w:val="center"/>
          </w:tcPr>
          <w:p w:rsidR="00C02E0F" w:rsidRDefault="00C80494">
            <w:pPr>
              <w:jc w:val="center"/>
            </w:pPr>
            <w:r>
              <w:t>513660</w:t>
            </w:r>
          </w:p>
        </w:tc>
        <w:tc>
          <w:tcPr>
            <w:tcW w:w="3102" w:type="dxa"/>
          </w:tcPr>
          <w:p w:rsidR="00C02E0F" w:rsidRDefault="00C80494">
            <w:r>
              <w:t>华夏沪港通恒生交易型开放式</w:t>
            </w:r>
            <w:r>
              <w:lastRenderedPageBreak/>
              <w:t>指数证券投资基金</w:t>
            </w:r>
          </w:p>
        </w:tc>
        <w:tc>
          <w:tcPr>
            <w:tcW w:w="2045" w:type="dxa"/>
            <w:vAlign w:val="center"/>
          </w:tcPr>
          <w:p w:rsidR="00C02E0F" w:rsidRDefault="00C80494">
            <w:r>
              <w:lastRenderedPageBreak/>
              <w:t>恒生通</w:t>
            </w:r>
          </w:p>
        </w:tc>
        <w:tc>
          <w:tcPr>
            <w:tcW w:w="2394" w:type="dxa"/>
            <w:vAlign w:val="center"/>
          </w:tcPr>
          <w:p w:rsidR="00C02E0F" w:rsidRDefault="00C80494">
            <w:r>
              <w:t>恒生</w:t>
            </w:r>
            <w:r>
              <w:t>ETF</w:t>
            </w:r>
          </w:p>
        </w:tc>
      </w:tr>
      <w:tr w:rsidR="00C02E0F">
        <w:trPr>
          <w:jc w:val="center"/>
        </w:trPr>
        <w:tc>
          <w:tcPr>
            <w:tcW w:w="1405" w:type="dxa"/>
            <w:vAlign w:val="center"/>
          </w:tcPr>
          <w:p w:rsidR="00C02E0F" w:rsidRDefault="00C80494">
            <w:pPr>
              <w:jc w:val="center"/>
            </w:pPr>
            <w:r>
              <w:lastRenderedPageBreak/>
              <w:t>513810</w:t>
            </w:r>
          </w:p>
        </w:tc>
        <w:tc>
          <w:tcPr>
            <w:tcW w:w="3102" w:type="dxa"/>
          </w:tcPr>
          <w:p w:rsidR="00C02E0F" w:rsidRDefault="00C80494">
            <w:r>
              <w:t>华夏中证香港内地国有企业交易型开放式指数证券投资基金（</w:t>
            </w:r>
            <w:r>
              <w:t>QDII</w:t>
            </w:r>
            <w:r>
              <w:t>）</w:t>
            </w:r>
          </w:p>
        </w:tc>
        <w:tc>
          <w:tcPr>
            <w:tcW w:w="2045" w:type="dxa"/>
            <w:vAlign w:val="center"/>
          </w:tcPr>
          <w:p w:rsidR="00C02E0F" w:rsidRDefault="00C80494">
            <w:r>
              <w:t>港股国企</w:t>
            </w:r>
          </w:p>
        </w:tc>
        <w:tc>
          <w:tcPr>
            <w:tcW w:w="2394" w:type="dxa"/>
            <w:vAlign w:val="center"/>
          </w:tcPr>
          <w:p w:rsidR="00C02E0F" w:rsidRDefault="00C80494">
            <w:r>
              <w:t>港股国企</w:t>
            </w:r>
            <w:r>
              <w:t>ETF</w:t>
            </w:r>
          </w:p>
        </w:tc>
      </w:tr>
      <w:tr w:rsidR="00C02E0F">
        <w:trPr>
          <w:jc w:val="center"/>
        </w:trPr>
        <w:tc>
          <w:tcPr>
            <w:tcW w:w="1405" w:type="dxa"/>
            <w:vAlign w:val="center"/>
          </w:tcPr>
          <w:p w:rsidR="00C02E0F" w:rsidRDefault="00C80494">
            <w:pPr>
              <w:jc w:val="center"/>
            </w:pPr>
            <w:r>
              <w:t>513910</w:t>
            </w:r>
          </w:p>
        </w:tc>
        <w:tc>
          <w:tcPr>
            <w:tcW w:w="3102" w:type="dxa"/>
          </w:tcPr>
          <w:p w:rsidR="00C02E0F" w:rsidRDefault="00C80494">
            <w:r>
              <w:t>华夏中证港股通央企红利交易型开放式指数证券投资基金</w:t>
            </w:r>
          </w:p>
        </w:tc>
        <w:tc>
          <w:tcPr>
            <w:tcW w:w="2045" w:type="dxa"/>
            <w:vAlign w:val="center"/>
          </w:tcPr>
          <w:p w:rsidR="00C02E0F" w:rsidRDefault="00C80494">
            <w:r>
              <w:t>红利央企</w:t>
            </w:r>
          </w:p>
        </w:tc>
        <w:tc>
          <w:tcPr>
            <w:tcW w:w="2394" w:type="dxa"/>
            <w:vAlign w:val="center"/>
          </w:tcPr>
          <w:p w:rsidR="00C02E0F" w:rsidRDefault="00C80494">
            <w:r>
              <w:t>港股央企红利</w:t>
            </w:r>
            <w:r>
              <w:t>ETF</w:t>
            </w:r>
          </w:p>
        </w:tc>
      </w:tr>
      <w:tr w:rsidR="00C02E0F">
        <w:trPr>
          <w:jc w:val="center"/>
        </w:trPr>
        <w:tc>
          <w:tcPr>
            <w:tcW w:w="1405" w:type="dxa"/>
            <w:vAlign w:val="center"/>
          </w:tcPr>
          <w:p w:rsidR="00C02E0F" w:rsidRDefault="00C80494">
            <w:pPr>
              <w:jc w:val="center"/>
            </w:pPr>
            <w:r>
              <w:t>515010</w:t>
            </w:r>
          </w:p>
        </w:tc>
        <w:tc>
          <w:tcPr>
            <w:tcW w:w="3102" w:type="dxa"/>
          </w:tcPr>
          <w:p w:rsidR="00C02E0F" w:rsidRDefault="00C80494">
            <w:r>
              <w:t>华夏中证全指证券公司交易型开放式指数证券投资基金</w:t>
            </w:r>
          </w:p>
        </w:tc>
        <w:tc>
          <w:tcPr>
            <w:tcW w:w="2045" w:type="dxa"/>
            <w:vAlign w:val="center"/>
          </w:tcPr>
          <w:p w:rsidR="00C02E0F" w:rsidRDefault="00C80494">
            <w:r>
              <w:t>华夏证券</w:t>
            </w:r>
          </w:p>
        </w:tc>
        <w:tc>
          <w:tcPr>
            <w:tcW w:w="2394" w:type="dxa"/>
            <w:vAlign w:val="center"/>
          </w:tcPr>
          <w:p w:rsidR="00C02E0F" w:rsidRDefault="00C80494">
            <w:r>
              <w:t>券商</w:t>
            </w:r>
            <w:r>
              <w:t>ETF</w:t>
            </w:r>
            <w:r>
              <w:t>基金</w:t>
            </w:r>
          </w:p>
        </w:tc>
      </w:tr>
      <w:tr w:rsidR="00C02E0F">
        <w:trPr>
          <w:jc w:val="center"/>
        </w:trPr>
        <w:tc>
          <w:tcPr>
            <w:tcW w:w="1405" w:type="dxa"/>
            <w:vAlign w:val="center"/>
          </w:tcPr>
          <w:p w:rsidR="00C02E0F" w:rsidRDefault="00C80494">
            <w:pPr>
              <w:jc w:val="center"/>
            </w:pPr>
            <w:r>
              <w:t>515020</w:t>
            </w:r>
          </w:p>
        </w:tc>
        <w:tc>
          <w:tcPr>
            <w:tcW w:w="3102" w:type="dxa"/>
          </w:tcPr>
          <w:p w:rsidR="00C02E0F" w:rsidRDefault="00C80494">
            <w:r>
              <w:t>华夏中证银行交易型开放式指数证券投资基金</w:t>
            </w:r>
          </w:p>
        </w:tc>
        <w:tc>
          <w:tcPr>
            <w:tcW w:w="2045" w:type="dxa"/>
            <w:vAlign w:val="center"/>
          </w:tcPr>
          <w:p w:rsidR="00C02E0F" w:rsidRDefault="00C80494">
            <w:r>
              <w:t>银行指数</w:t>
            </w:r>
          </w:p>
        </w:tc>
        <w:tc>
          <w:tcPr>
            <w:tcW w:w="2394" w:type="dxa"/>
            <w:vAlign w:val="center"/>
          </w:tcPr>
          <w:p w:rsidR="00C02E0F" w:rsidRDefault="00C80494">
            <w:r>
              <w:t>银行</w:t>
            </w:r>
            <w:r>
              <w:t xml:space="preserve"> ETF </w:t>
            </w:r>
            <w:r>
              <w:t>基金</w:t>
            </w:r>
          </w:p>
        </w:tc>
      </w:tr>
      <w:tr w:rsidR="00C02E0F">
        <w:trPr>
          <w:jc w:val="center"/>
        </w:trPr>
        <w:tc>
          <w:tcPr>
            <w:tcW w:w="1405" w:type="dxa"/>
            <w:vAlign w:val="center"/>
          </w:tcPr>
          <w:p w:rsidR="00C02E0F" w:rsidRDefault="00C80494">
            <w:pPr>
              <w:jc w:val="center"/>
            </w:pPr>
            <w:r>
              <w:t>515030</w:t>
            </w:r>
          </w:p>
        </w:tc>
        <w:tc>
          <w:tcPr>
            <w:tcW w:w="3102" w:type="dxa"/>
          </w:tcPr>
          <w:p w:rsidR="00C02E0F" w:rsidRDefault="00C80494">
            <w:r>
              <w:t>华夏中证新能源汽车交易型开放式指数证券投资基金</w:t>
            </w:r>
          </w:p>
        </w:tc>
        <w:tc>
          <w:tcPr>
            <w:tcW w:w="2045" w:type="dxa"/>
            <w:vAlign w:val="center"/>
          </w:tcPr>
          <w:p w:rsidR="00C02E0F" w:rsidRDefault="00C80494">
            <w:r>
              <w:t>新汽车</w:t>
            </w:r>
          </w:p>
        </w:tc>
        <w:tc>
          <w:tcPr>
            <w:tcW w:w="2394" w:type="dxa"/>
            <w:vAlign w:val="center"/>
          </w:tcPr>
          <w:p w:rsidR="00C02E0F" w:rsidRDefault="00C80494">
            <w:r>
              <w:t>新能源车</w:t>
            </w:r>
            <w:r>
              <w:t>ETF</w:t>
            </w:r>
          </w:p>
        </w:tc>
      </w:tr>
      <w:tr w:rsidR="00C02E0F">
        <w:trPr>
          <w:jc w:val="center"/>
        </w:trPr>
        <w:tc>
          <w:tcPr>
            <w:tcW w:w="1405" w:type="dxa"/>
            <w:vAlign w:val="center"/>
          </w:tcPr>
          <w:p w:rsidR="00C02E0F" w:rsidRDefault="00C80494">
            <w:pPr>
              <w:jc w:val="center"/>
            </w:pPr>
            <w:r>
              <w:t>515050</w:t>
            </w:r>
          </w:p>
        </w:tc>
        <w:tc>
          <w:tcPr>
            <w:tcW w:w="3102" w:type="dxa"/>
          </w:tcPr>
          <w:p w:rsidR="00C02E0F" w:rsidRDefault="00C80494">
            <w:r>
              <w:t>华夏中证</w:t>
            </w:r>
            <w:r>
              <w:t>5G</w:t>
            </w:r>
            <w:r>
              <w:t>通信主题交易型开放式指数证券投资基金</w:t>
            </w:r>
          </w:p>
        </w:tc>
        <w:tc>
          <w:tcPr>
            <w:tcW w:w="2045" w:type="dxa"/>
            <w:vAlign w:val="center"/>
          </w:tcPr>
          <w:p w:rsidR="00C02E0F" w:rsidRDefault="00C80494">
            <w:r>
              <w:t>5GETF</w:t>
            </w:r>
          </w:p>
        </w:tc>
        <w:tc>
          <w:tcPr>
            <w:tcW w:w="2394" w:type="dxa"/>
            <w:vAlign w:val="center"/>
          </w:tcPr>
          <w:p w:rsidR="00C02E0F" w:rsidRDefault="00C80494">
            <w:r>
              <w:t>5G</w:t>
            </w:r>
            <w:r>
              <w:t>通信</w:t>
            </w:r>
            <w:r>
              <w:t>ETF</w:t>
            </w:r>
          </w:p>
        </w:tc>
      </w:tr>
      <w:tr w:rsidR="00C02E0F">
        <w:trPr>
          <w:jc w:val="center"/>
        </w:trPr>
        <w:tc>
          <w:tcPr>
            <w:tcW w:w="1405" w:type="dxa"/>
            <w:vAlign w:val="center"/>
          </w:tcPr>
          <w:p w:rsidR="00C02E0F" w:rsidRDefault="00C80494">
            <w:pPr>
              <w:jc w:val="center"/>
            </w:pPr>
            <w:r>
              <w:t>515060</w:t>
            </w:r>
          </w:p>
        </w:tc>
        <w:tc>
          <w:tcPr>
            <w:tcW w:w="3102" w:type="dxa"/>
          </w:tcPr>
          <w:p w:rsidR="00C02E0F" w:rsidRDefault="00C80494">
            <w:r>
              <w:t>华夏中证全指房地产交易型开放式指数证券投资基金</w:t>
            </w:r>
          </w:p>
        </w:tc>
        <w:tc>
          <w:tcPr>
            <w:tcW w:w="2045" w:type="dxa"/>
            <w:vAlign w:val="center"/>
          </w:tcPr>
          <w:p w:rsidR="00C02E0F" w:rsidRDefault="00C80494">
            <w:r>
              <w:t>华夏地产</w:t>
            </w:r>
          </w:p>
        </w:tc>
        <w:tc>
          <w:tcPr>
            <w:tcW w:w="2394" w:type="dxa"/>
            <w:vAlign w:val="center"/>
          </w:tcPr>
          <w:p w:rsidR="00C02E0F" w:rsidRDefault="00C80494">
            <w:r>
              <w:t>房地产</w:t>
            </w:r>
            <w:r>
              <w:t>ETF</w:t>
            </w:r>
            <w:r>
              <w:t>基金</w:t>
            </w:r>
          </w:p>
        </w:tc>
      </w:tr>
      <w:tr w:rsidR="00C02E0F">
        <w:trPr>
          <w:jc w:val="center"/>
        </w:trPr>
        <w:tc>
          <w:tcPr>
            <w:tcW w:w="1405" w:type="dxa"/>
            <w:vAlign w:val="center"/>
          </w:tcPr>
          <w:p w:rsidR="00C02E0F" w:rsidRDefault="00C80494">
            <w:pPr>
              <w:jc w:val="center"/>
            </w:pPr>
            <w:r>
              <w:t>515070</w:t>
            </w:r>
          </w:p>
        </w:tc>
        <w:tc>
          <w:tcPr>
            <w:tcW w:w="3102" w:type="dxa"/>
          </w:tcPr>
          <w:p w:rsidR="00C02E0F" w:rsidRDefault="00C80494">
            <w:r>
              <w:t>华夏中证人工智能主题交易型开放式指数证券投资基金</w:t>
            </w:r>
          </w:p>
        </w:tc>
        <w:tc>
          <w:tcPr>
            <w:tcW w:w="2045" w:type="dxa"/>
            <w:vAlign w:val="center"/>
          </w:tcPr>
          <w:p w:rsidR="00C02E0F" w:rsidRDefault="00C80494">
            <w:r>
              <w:t>AI</w:t>
            </w:r>
            <w:r>
              <w:t>智能</w:t>
            </w:r>
          </w:p>
        </w:tc>
        <w:tc>
          <w:tcPr>
            <w:tcW w:w="2394" w:type="dxa"/>
            <w:vAlign w:val="center"/>
          </w:tcPr>
          <w:p w:rsidR="00C02E0F" w:rsidRDefault="00C80494">
            <w:r>
              <w:t>人工智能</w:t>
            </w:r>
            <w:r>
              <w:t>AIETF</w:t>
            </w:r>
          </w:p>
        </w:tc>
      </w:tr>
      <w:tr w:rsidR="00C02E0F">
        <w:trPr>
          <w:jc w:val="center"/>
        </w:trPr>
        <w:tc>
          <w:tcPr>
            <w:tcW w:w="1405" w:type="dxa"/>
            <w:vAlign w:val="center"/>
          </w:tcPr>
          <w:p w:rsidR="00C02E0F" w:rsidRDefault="00C80494">
            <w:pPr>
              <w:jc w:val="center"/>
            </w:pPr>
            <w:r>
              <w:t>515170</w:t>
            </w:r>
          </w:p>
        </w:tc>
        <w:tc>
          <w:tcPr>
            <w:tcW w:w="3102" w:type="dxa"/>
          </w:tcPr>
          <w:p w:rsidR="00C02E0F" w:rsidRDefault="00C80494">
            <w:r>
              <w:t>华夏中证细分食品饮料产业主题交易型开放式指数证券投资基金</w:t>
            </w:r>
          </w:p>
        </w:tc>
        <w:tc>
          <w:tcPr>
            <w:tcW w:w="2045" w:type="dxa"/>
            <w:vAlign w:val="center"/>
          </w:tcPr>
          <w:p w:rsidR="00C02E0F" w:rsidRDefault="00C80494">
            <w:r>
              <w:t>食品饮料</w:t>
            </w:r>
          </w:p>
        </w:tc>
        <w:tc>
          <w:tcPr>
            <w:tcW w:w="2394" w:type="dxa"/>
            <w:vAlign w:val="center"/>
          </w:tcPr>
          <w:p w:rsidR="00C02E0F" w:rsidRDefault="00C80494">
            <w:r>
              <w:t>食品饮料</w:t>
            </w:r>
            <w:r>
              <w:t>ETF</w:t>
            </w:r>
          </w:p>
        </w:tc>
      </w:tr>
      <w:tr w:rsidR="00C02E0F">
        <w:trPr>
          <w:jc w:val="center"/>
        </w:trPr>
        <w:tc>
          <w:tcPr>
            <w:tcW w:w="1405" w:type="dxa"/>
            <w:vAlign w:val="center"/>
          </w:tcPr>
          <w:p w:rsidR="00C02E0F" w:rsidRDefault="00C80494">
            <w:pPr>
              <w:jc w:val="center"/>
            </w:pPr>
            <w:r>
              <w:t>515760</w:t>
            </w:r>
          </w:p>
        </w:tc>
        <w:tc>
          <w:tcPr>
            <w:tcW w:w="3102" w:type="dxa"/>
          </w:tcPr>
          <w:p w:rsidR="00C02E0F" w:rsidRDefault="00C80494">
            <w:r>
              <w:t>华夏中证浙江国资创新发展交易型开放式指数证券投资基金</w:t>
            </w:r>
          </w:p>
        </w:tc>
        <w:tc>
          <w:tcPr>
            <w:tcW w:w="2045" w:type="dxa"/>
            <w:vAlign w:val="center"/>
          </w:tcPr>
          <w:p w:rsidR="00C02E0F" w:rsidRDefault="00C80494">
            <w:r>
              <w:t>浙江国资</w:t>
            </w:r>
          </w:p>
        </w:tc>
        <w:tc>
          <w:tcPr>
            <w:tcW w:w="2394" w:type="dxa"/>
            <w:vAlign w:val="center"/>
          </w:tcPr>
          <w:p w:rsidR="00C02E0F" w:rsidRDefault="00C80494">
            <w:r>
              <w:t>浙江国资</w:t>
            </w:r>
            <w:r>
              <w:t>ETF</w:t>
            </w:r>
          </w:p>
        </w:tc>
      </w:tr>
      <w:tr w:rsidR="00C02E0F">
        <w:trPr>
          <w:jc w:val="center"/>
        </w:trPr>
        <w:tc>
          <w:tcPr>
            <w:tcW w:w="1405" w:type="dxa"/>
            <w:vAlign w:val="center"/>
          </w:tcPr>
          <w:p w:rsidR="00C02E0F" w:rsidRDefault="00C80494">
            <w:pPr>
              <w:jc w:val="center"/>
            </w:pPr>
            <w:r>
              <w:t>516000</w:t>
            </w:r>
          </w:p>
        </w:tc>
        <w:tc>
          <w:tcPr>
            <w:tcW w:w="3102" w:type="dxa"/>
          </w:tcPr>
          <w:p w:rsidR="00C02E0F" w:rsidRDefault="00C80494">
            <w:r>
              <w:t>华夏中证大数据产业交易型开放式指数证券投资基金</w:t>
            </w:r>
          </w:p>
        </w:tc>
        <w:tc>
          <w:tcPr>
            <w:tcW w:w="2045" w:type="dxa"/>
            <w:vAlign w:val="center"/>
          </w:tcPr>
          <w:p w:rsidR="00C02E0F" w:rsidRDefault="00C80494">
            <w:r>
              <w:t>数据</w:t>
            </w:r>
            <w:r>
              <w:t xml:space="preserve"> ETF</w:t>
            </w:r>
          </w:p>
        </w:tc>
        <w:tc>
          <w:tcPr>
            <w:tcW w:w="2394" w:type="dxa"/>
            <w:vAlign w:val="center"/>
          </w:tcPr>
          <w:p w:rsidR="00C02E0F" w:rsidRDefault="00C80494">
            <w:r>
              <w:t>数据</w:t>
            </w:r>
            <w:r>
              <w:t xml:space="preserve"> ETF</w:t>
            </w:r>
          </w:p>
        </w:tc>
      </w:tr>
      <w:tr w:rsidR="00C02E0F">
        <w:trPr>
          <w:jc w:val="center"/>
        </w:trPr>
        <w:tc>
          <w:tcPr>
            <w:tcW w:w="1405" w:type="dxa"/>
            <w:vAlign w:val="center"/>
          </w:tcPr>
          <w:p w:rsidR="00C02E0F" w:rsidRDefault="00C80494">
            <w:pPr>
              <w:jc w:val="center"/>
            </w:pPr>
            <w:r>
              <w:t>516100</w:t>
            </w:r>
          </w:p>
        </w:tc>
        <w:tc>
          <w:tcPr>
            <w:tcW w:w="3102" w:type="dxa"/>
          </w:tcPr>
          <w:p w:rsidR="00C02E0F" w:rsidRDefault="00C80494">
            <w:r>
              <w:t>华夏中证金融科技主题交易型开放式指数证券投资基金</w:t>
            </w:r>
          </w:p>
        </w:tc>
        <w:tc>
          <w:tcPr>
            <w:tcW w:w="2045" w:type="dxa"/>
            <w:vAlign w:val="center"/>
          </w:tcPr>
          <w:p w:rsidR="00C02E0F" w:rsidRDefault="00C80494">
            <w:r>
              <w:t>科技金融</w:t>
            </w:r>
          </w:p>
        </w:tc>
        <w:tc>
          <w:tcPr>
            <w:tcW w:w="2394" w:type="dxa"/>
            <w:vAlign w:val="center"/>
          </w:tcPr>
          <w:p w:rsidR="00C02E0F" w:rsidRDefault="00C80494">
            <w:r>
              <w:t>金融科技</w:t>
            </w:r>
            <w:r>
              <w:t>ETF</w:t>
            </w:r>
            <w:r>
              <w:t>华夏</w:t>
            </w:r>
          </w:p>
        </w:tc>
      </w:tr>
      <w:tr w:rsidR="00C02E0F">
        <w:trPr>
          <w:jc w:val="center"/>
        </w:trPr>
        <w:tc>
          <w:tcPr>
            <w:tcW w:w="1405" w:type="dxa"/>
            <w:vAlign w:val="center"/>
          </w:tcPr>
          <w:p w:rsidR="00C02E0F" w:rsidRDefault="00C80494">
            <w:pPr>
              <w:jc w:val="center"/>
            </w:pPr>
            <w:r>
              <w:t>516190</w:t>
            </w:r>
          </w:p>
        </w:tc>
        <w:tc>
          <w:tcPr>
            <w:tcW w:w="3102" w:type="dxa"/>
          </w:tcPr>
          <w:p w:rsidR="00C02E0F" w:rsidRDefault="00C80494">
            <w:r>
              <w:t>华夏中证文娱传媒交易型开放式指数证券投资基金</w:t>
            </w:r>
          </w:p>
        </w:tc>
        <w:tc>
          <w:tcPr>
            <w:tcW w:w="2045" w:type="dxa"/>
            <w:vAlign w:val="center"/>
          </w:tcPr>
          <w:p w:rsidR="00C02E0F" w:rsidRDefault="00C80494">
            <w:r>
              <w:t>文娱</w:t>
            </w:r>
            <w:r>
              <w:t>ETF</w:t>
            </w:r>
          </w:p>
        </w:tc>
        <w:tc>
          <w:tcPr>
            <w:tcW w:w="2394" w:type="dxa"/>
            <w:vAlign w:val="center"/>
          </w:tcPr>
          <w:p w:rsidR="00C02E0F" w:rsidRDefault="00C80494">
            <w:r>
              <w:t>文娱传媒</w:t>
            </w:r>
            <w:r>
              <w:t>ETF</w:t>
            </w:r>
          </w:p>
        </w:tc>
      </w:tr>
      <w:tr w:rsidR="00C02E0F">
        <w:trPr>
          <w:jc w:val="center"/>
        </w:trPr>
        <w:tc>
          <w:tcPr>
            <w:tcW w:w="1405" w:type="dxa"/>
            <w:vAlign w:val="center"/>
          </w:tcPr>
          <w:p w:rsidR="00C02E0F" w:rsidRDefault="00C80494">
            <w:pPr>
              <w:jc w:val="center"/>
            </w:pPr>
            <w:r>
              <w:t>516260</w:t>
            </w:r>
          </w:p>
        </w:tc>
        <w:tc>
          <w:tcPr>
            <w:tcW w:w="3102" w:type="dxa"/>
          </w:tcPr>
          <w:p w:rsidR="00C02E0F" w:rsidRDefault="00C80494">
            <w:r>
              <w:t>华夏中证物联网主题交易型开放式指数证券投资基金</w:t>
            </w:r>
          </w:p>
        </w:tc>
        <w:tc>
          <w:tcPr>
            <w:tcW w:w="2045" w:type="dxa"/>
            <w:vAlign w:val="center"/>
          </w:tcPr>
          <w:p w:rsidR="00C02E0F" w:rsidRDefault="00C80494">
            <w:r>
              <w:t>物联网</w:t>
            </w:r>
            <w:r>
              <w:t>50</w:t>
            </w:r>
          </w:p>
        </w:tc>
        <w:tc>
          <w:tcPr>
            <w:tcW w:w="2394" w:type="dxa"/>
            <w:vAlign w:val="center"/>
          </w:tcPr>
          <w:p w:rsidR="00C02E0F" w:rsidRDefault="00C80494">
            <w:r>
              <w:t>物联网</w:t>
            </w:r>
            <w:r>
              <w:t>50ETF</w:t>
            </w:r>
          </w:p>
        </w:tc>
      </w:tr>
      <w:tr w:rsidR="00C02E0F">
        <w:trPr>
          <w:jc w:val="center"/>
        </w:trPr>
        <w:tc>
          <w:tcPr>
            <w:tcW w:w="1405" w:type="dxa"/>
            <w:vAlign w:val="center"/>
          </w:tcPr>
          <w:p w:rsidR="00C02E0F" w:rsidRDefault="00C80494">
            <w:pPr>
              <w:jc w:val="center"/>
            </w:pPr>
            <w:r>
              <w:t>516320</w:t>
            </w:r>
          </w:p>
        </w:tc>
        <w:tc>
          <w:tcPr>
            <w:tcW w:w="3102" w:type="dxa"/>
          </w:tcPr>
          <w:p w:rsidR="00C02E0F" w:rsidRDefault="00C80494">
            <w:r>
              <w:t>华夏中证装备产业交易型开放式指数证券投资基金</w:t>
            </w:r>
          </w:p>
        </w:tc>
        <w:tc>
          <w:tcPr>
            <w:tcW w:w="2045" w:type="dxa"/>
            <w:vAlign w:val="center"/>
          </w:tcPr>
          <w:p w:rsidR="00C02E0F" w:rsidRDefault="00C80494">
            <w:r>
              <w:t>装备</w:t>
            </w:r>
            <w:r>
              <w:t>ETF</w:t>
            </w:r>
          </w:p>
        </w:tc>
        <w:tc>
          <w:tcPr>
            <w:tcW w:w="2394" w:type="dxa"/>
            <w:vAlign w:val="center"/>
          </w:tcPr>
          <w:p w:rsidR="00C02E0F" w:rsidRDefault="00C80494">
            <w:r>
              <w:t>高端装备</w:t>
            </w:r>
            <w:r>
              <w:t>ETF</w:t>
            </w:r>
          </w:p>
        </w:tc>
      </w:tr>
      <w:tr w:rsidR="00C02E0F">
        <w:trPr>
          <w:jc w:val="center"/>
        </w:trPr>
        <w:tc>
          <w:tcPr>
            <w:tcW w:w="1405" w:type="dxa"/>
            <w:vAlign w:val="center"/>
          </w:tcPr>
          <w:p w:rsidR="00C02E0F" w:rsidRDefault="00C80494">
            <w:pPr>
              <w:jc w:val="center"/>
            </w:pPr>
            <w:r>
              <w:t>516500</w:t>
            </w:r>
          </w:p>
        </w:tc>
        <w:tc>
          <w:tcPr>
            <w:tcW w:w="3102" w:type="dxa"/>
          </w:tcPr>
          <w:p w:rsidR="00C02E0F" w:rsidRDefault="00C80494">
            <w:r>
              <w:t>华夏中证生物科技主题交易型开放式指数证券投资基金</w:t>
            </w:r>
          </w:p>
        </w:tc>
        <w:tc>
          <w:tcPr>
            <w:tcW w:w="2045" w:type="dxa"/>
            <w:vAlign w:val="center"/>
          </w:tcPr>
          <w:p w:rsidR="00C02E0F" w:rsidRDefault="00C80494">
            <w:r>
              <w:t>生物</w:t>
            </w:r>
            <w:r>
              <w:t>ETF</w:t>
            </w:r>
          </w:p>
        </w:tc>
        <w:tc>
          <w:tcPr>
            <w:tcW w:w="2394" w:type="dxa"/>
            <w:vAlign w:val="center"/>
          </w:tcPr>
          <w:p w:rsidR="00C02E0F" w:rsidRDefault="00C80494">
            <w:r>
              <w:t>生物科技</w:t>
            </w:r>
            <w:r>
              <w:t>ETF</w:t>
            </w:r>
          </w:p>
        </w:tc>
      </w:tr>
      <w:tr w:rsidR="00C02E0F">
        <w:trPr>
          <w:jc w:val="center"/>
        </w:trPr>
        <w:tc>
          <w:tcPr>
            <w:tcW w:w="1405" w:type="dxa"/>
            <w:vAlign w:val="center"/>
          </w:tcPr>
          <w:p w:rsidR="00C02E0F" w:rsidRDefault="00C80494">
            <w:pPr>
              <w:jc w:val="center"/>
            </w:pPr>
            <w:r>
              <w:t>516630</w:t>
            </w:r>
          </w:p>
        </w:tc>
        <w:tc>
          <w:tcPr>
            <w:tcW w:w="3102" w:type="dxa"/>
          </w:tcPr>
          <w:p w:rsidR="00C02E0F" w:rsidRDefault="00C80494">
            <w:r>
              <w:t>华夏中证云计算与大数据主题交易型开放式指数证券投资基金</w:t>
            </w:r>
          </w:p>
        </w:tc>
        <w:tc>
          <w:tcPr>
            <w:tcW w:w="2045" w:type="dxa"/>
            <w:vAlign w:val="center"/>
          </w:tcPr>
          <w:p w:rsidR="00C02E0F" w:rsidRDefault="00C80494">
            <w:r>
              <w:t>云计算</w:t>
            </w:r>
            <w:r>
              <w:t>50</w:t>
            </w:r>
          </w:p>
        </w:tc>
        <w:tc>
          <w:tcPr>
            <w:tcW w:w="2394" w:type="dxa"/>
            <w:vAlign w:val="center"/>
          </w:tcPr>
          <w:p w:rsidR="00C02E0F" w:rsidRDefault="00C80494">
            <w:r>
              <w:t>云计算</w:t>
            </w:r>
            <w:r>
              <w:t>50ETF</w:t>
            </w:r>
          </w:p>
        </w:tc>
      </w:tr>
      <w:tr w:rsidR="00C02E0F">
        <w:trPr>
          <w:jc w:val="center"/>
        </w:trPr>
        <w:tc>
          <w:tcPr>
            <w:tcW w:w="1405" w:type="dxa"/>
            <w:vAlign w:val="center"/>
          </w:tcPr>
          <w:p w:rsidR="00C02E0F" w:rsidRDefault="00C80494">
            <w:pPr>
              <w:jc w:val="center"/>
            </w:pPr>
            <w:r>
              <w:t>516650</w:t>
            </w:r>
          </w:p>
        </w:tc>
        <w:tc>
          <w:tcPr>
            <w:tcW w:w="3102" w:type="dxa"/>
          </w:tcPr>
          <w:p w:rsidR="00C02E0F" w:rsidRDefault="00C80494">
            <w:r>
              <w:t>华夏中证细分有色金属产业主题交易型开放式指数证券投资基金</w:t>
            </w:r>
          </w:p>
        </w:tc>
        <w:tc>
          <w:tcPr>
            <w:tcW w:w="2045" w:type="dxa"/>
            <w:vAlign w:val="center"/>
          </w:tcPr>
          <w:p w:rsidR="00C02E0F" w:rsidRDefault="00C80494">
            <w:r>
              <w:t>有色</w:t>
            </w:r>
            <w:r>
              <w:t>50</w:t>
            </w:r>
          </w:p>
        </w:tc>
        <w:tc>
          <w:tcPr>
            <w:tcW w:w="2394" w:type="dxa"/>
            <w:vAlign w:val="center"/>
          </w:tcPr>
          <w:p w:rsidR="00C02E0F" w:rsidRDefault="00C80494">
            <w:r>
              <w:t>有色金属</w:t>
            </w:r>
            <w:r>
              <w:t>ETF</w:t>
            </w:r>
            <w:r>
              <w:t>基金</w:t>
            </w:r>
          </w:p>
        </w:tc>
      </w:tr>
      <w:tr w:rsidR="00C02E0F">
        <w:trPr>
          <w:jc w:val="center"/>
        </w:trPr>
        <w:tc>
          <w:tcPr>
            <w:tcW w:w="1405" w:type="dxa"/>
            <w:vAlign w:val="center"/>
          </w:tcPr>
          <w:p w:rsidR="00C02E0F" w:rsidRDefault="00C80494">
            <w:pPr>
              <w:jc w:val="center"/>
            </w:pPr>
            <w:r>
              <w:t>516710</w:t>
            </w:r>
          </w:p>
        </w:tc>
        <w:tc>
          <w:tcPr>
            <w:tcW w:w="3102" w:type="dxa"/>
          </w:tcPr>
          <w:p w:rsidR="00C02E0F" w:rsidRDefault="00C80494">
            <w:r>
              <w:t>华夏中证新材料主题交易型开放式指数证券投资基金</w:t>
            </w:r>
          </w:p>
        </w:tc>
        <w:tc>
          <w:tcPr>
            <w:tcW w:w="2045" w:type="dxa"/>
            <w:vAlign w:val="center"/>
          </w:tcPr>
          <w:p w:rsidR="00C02E0F" w:rsidRDefault="00C80494">
            <w:r>
              <w:t>新材料</w:t>
            </w:r>
            <w:r>
              <w:t>50</w:t>
            </w:r>
          </w:p>
        </w:tc>
        <w:tc>
          <w:tcPr>
            <w:tcW w:w="2394" w:type="dxa"/>
            <w:vAlign w:val="center"/>
          </w:tcPr>
          <w:p w:rsidR="00C02E0F" w:rsidRDefault="00C80494">
            <w:r>
              <w:t>新材料</w:t>
            </w:r>
            <w:r>
              <w:t>50ETF</w:t>
            </w:r>
          </w:p>
        </w:tc>
      </w:tr>
      <w:tr w:rsidR="00C02E0F">
        <w:trPr>
          <w:jc w:val="center"/>
        </w:trPr>
        <w:tc>
          <w:tcPr>
            <w:tcW w:w="1405" w:type="dxa"/>
            <w:vAlign w:val="center"/>
          </w:tcPr>
          <w:p w:rsidR="00C02E0F" w:rsidRDefault="00C80494">
            <w:pPr>
              <w:jc w:val="center"/>
            </w:pPr>
            <w:r>
              <w:t>516810</w:t>
            </w:r>
          </w:p>
        </w:tc>
        <w:tc>
          <w:tcPr>
            <w:tcW w:w="3102" w:type="dxa"/>
          </w:tcPr>
          <w:p w:rsidR="00C02E0F" w:rsidRDefault="00C80494">
            <w:r>
              <w:t>华夏中证农业主题交易型开放</w:t>
            </w:r>
            <w:r>
              <w:lastRenderedPageBreak/>
              <w:t>式指数证券投资基金</w:t>
            </w:r>
          </w:p>
        </w:tc>
        <w:tc>
          <w:tcPr>
            <w:tcW w:w="2045" w:type="dxa"/>
            <w:vAlign w:val="center"/>
          </w:tcPr>
          <w:p w:rsidR="00C02E0F" w:rsidRDefault="00C80494">
            <w:r>
              <w:lastRenderedPageBreak/>
              <w:t>农业</w:t>
            </w:r>
          </w:p>
        </w:tc>
        <w:tc>
          <w:tcPr>
            <w:tcW w:w="2394" w:type="dxa"/>
            <w:vAlign w:val="center"/>
          </w:tcPr>
          <w:p w:rsidR="00C02E0F" w:rsidRDefault="00C80494">
            <w:r>
              <w:t>农业</w:t>
            </w:r>
            <w:r>
              <w:t>50ETF</w:t>
            </w:r>
          </w:p>
        </w:tc>
      </w:tr>
      <w:tr w:rsidR="00C02E0F">
        <w:trPr>
          <w:jc w:val="center"/>
        </w:trPr>
        <w:tc>
          <w:tcPr>
            <w:tcW w:w="1405" w:type="dxa"/>
            <w:vAlign w:val="center"/>
          </w:tcPr>
          <w:p w:rsidR="00C02E0F" w:rsidRDefault="00C80494">
            <w:pPr>
              <w:jc w:val="center"/>
            </w:pPr>
            <w:r>
              <w:lastRenderedPageBreak/>
              <w:t>516850</w:t>
            </w:r>
          </w:p>
        </w:tc>
        <w:tc>
          <w:tcPr>
            <w:tcW w:w="3102" w:type="dxa"/>
          </w:tcPr>
          <w:p w:rsidR="00C02E0F" w:rsidRDefault="00C80494">
            <w:r>
              <w:t>华夏中证新能源交易型开放式指数证券投资基金</w:t>
            </w:r>
          </w:p>
        </w:tc>
        <w:tc>
          <w:tcPr>
            <w:tcW w:w="2045" w:type="dxa"/>
            <w:vAlign w:val="center"/>
          </w:tcPr>
          <w:p w:rsidR="00C02E0F" w:rsidRDefault="00C80494">
            <w:r>
              <w:t>新能源</w:t>
            </w:r>
            <w:r>
              <w:t>80</w:t>
            </w:r>
          </w:p>
        </w:tc>
        <w:tc>
          <w:tcPr>
            <w:tcW w:w="2394" w:type="dxa"/>
            <w:vAlign w:val="center"/>
          </w:tcPr>
          <w:p w:rsidR="00C02E0F" w:rsidRDefault="00C80494">
            <w:r>
              <w:t>新能源</w:t>
            </w:r>
            <w:r>
              <w:t>ETF</w:t>
            </w:r>
            <w:r>
              <w:t>基金</w:t>
            </w:r>
          </w:p>
        </w:tc>
      </w:tr>
      <w:tr w:rsidR="00C02E0F">
        <w:trPr>
          <w:jc w:val="center"/>
        </w:trPr>
        <w:tc>
          <w:tcPr>
            <w:tcW w:w="1405" w:type="dxa"/>
            <w:vAlign w:val="center"/>
          </w:tcPr>
          <w:p w:rsidR="00C02E0F" w:rsidRDefault="00C80494">
            <w:pPr>
              <w:jc w:val="center"/>
            </w:pPr>
            <w:r>
              <w:t>517170</w:t>
            </w:r>
          </w:p>
        </w:tc>
        <w:tc>
          <w:tcPr>
            <w:tcW w:w="3102" w:type="dxa"/>
          </w:tcPr>
          <w:p w:rsidR="00C02E0F" w:rsidRDefault="00C80494">
            <w:r>
              <w:t>华夏中证沪港深</w:t>
            </w:r>
            <w:r>
              <w:t>500</w:t>
            </w:r>
            <w:r>
              <w:t>交易型开放式指数证券投资基金</w:t>
            </w:r>
          </w:p>
        </w:tc>
        <w:tc>
          <w:tcPr>
            <w:tcW w:w="2045" w:type="dxa"/>
            <w:vAlign w:val="center"/>
          </w:tcPr>
          <w:p w:rsidR="00C02E0F" w:rsidRDefault="00C80494">
            <w:r>
              <w:t>沪港深</w:t>
            </w:r>
            <w:r>
              <w:t>E</w:t>
            </w:r>
          </w:p>
        </w:tc>
        <w:tc>
          <w:tcPr>
            <w:tcW w:w="2394" w:type="dxa"/>
            <w:vAlign w:val="center"/>
          </w:tcPr>
          <w:p w:rsidR="00C02E0F" w:rsidRDefault="00C80494">
            <w:r>
              <w:t>沪港深</w:t>
            </w:r>
            <w:r>
              <w:t>ETF</w:t>
            </w:r>
          </w:p>
        </w:tc>
      </w:tr>
      <w:tr w:rsidR="00C02E0F">
        <w:trPr>
          <w:jc w:val="center"/>
        </w:trPr>
        <w:tc>
          <w:tcPr>
            <w:tcW w:w="1405" w:type="dxa"/>
            <w:vAlign w:val="center"/>
          </w:tcPr>
          <w:p w:rsidR="00C02E0F" w:rsidRDefault="00C80494">
            <w:pPr>
              <w:jc w:val="center"/>
            </w:pPr>
            <w:r>
              <w:t>562500</w:t>
            </w:r>
          </w:p>
        </w:tc>
        <w:tc>
          <w:tcPr>
            <w:tcW w:w="3102" w:type="dxa"/>
          </w:tcPr>
          <w:p w:rsidR="00C02E0F" w:rsidRDefault="00C80494">
            <w:r>
              <w:t>华夏中证机器人交易型开放式指数证券投资基金</w:t>
            </w:r>
          </w:p>
        </w:tc>
        <w:tc>
          <w:tcPr>
            <w:tcW w:w="2045" w:type="dxa"/>
            <w:vAlign w:val="center"/>
          </w:tcPr>
          <w:p w:rsidR="00C02E0F" w:rsidRDefault="00C80494">
            <w:r>
              <w:t>机器人</w:t>
            </w:r>
          </w:p>
        </w:tc>
        <w:tc>
          <w:tcPr>
            <w:tcW w:w="2394" w:type="dxa"/>
            <w:vAlign w:val="center"/>
          </w:tcPr>
          <w:p w:rsidR="00C02E0F" w:rsidRDefault="00C80494">
            <w:r>
              <w:t>机器人</w:t>
            </w:r>
            <w:r>
              <w:t>ETF</w:t>
            </w:r>
          </w:p>
        </w:tc>
      </w:tr>
      <w:tr w:rsidR="00C02E0F">
        <w:trPr>
          <w:jc w:val="center"/>
        </w:trPr>
        <w:tc>
          <w:tcPr>
            <w:tcW w:w="1405" w:type="dxa"/>
            <w:vAlign w:val="center"/>
          </w:tcPr>
          <w:p w:rsidR="00C02E0F" w:rsidRDefault="00C80494">
            <w:pPr>
              <w:jc w:val="center"/>
            </w:pPr>
            <w:r>
              <w:t>562510</w:t>
            </w:r>
          </w:p>
        </w:tc>
        <w:tc>
          <w:tcPr>
            <w:tcW w:w="3102" w:type="dxa"/>
          </w:tcPr>
          <w:p w:rsidR="00C02E0F" w:rsidRDefault="00C80494">
            <w:r>
              <w:t>华夏中证旅游主题交易型开放式指数证券投资基金</w:t>
            </w:r>
          </w:p>
        </w:tc>
        <w:tc>
          <w:tcPr>
            <w:tcW w:w="2045" w:type="dxa"/>
            <w:vAlign w:val="center"/>
          </w:tcPr>
          <w:p w:rsidR="00C02E0F" w:rsidRDefault="00C80494">
            <w:r>
              <w:t>旅游</w:t>
            </w:r>
            <w:r>
              <w:t>ETF</w:t>
            </w:r>
          </w:p>
        </w:tc>
        <w:tc>
          <w:tcPr>
            <w:tcW w:w="2394" w:type="dxa"/>
            <w:vAlign w:val="center"/>
          </w:tcPr>
          <w:p w:rsidR="00C02E0F" w:rsidRDefault="00C80494">
            <w:r>
              <w:t>旅游</w:t>
            </w:r>
            <w:r>
              <w:t>ETF</w:t>
            </w:r>
          </w:p>
        </w:tc>
      </w:tr>
      <w:tr w:rsidR="00C02E0F">
        <w:trPr>
          <w:jc w:val="center"/>
        </w:trPr>
        <w:tc>
          <w:tcPr>
            <w:tcW w:w="1405" w:type="dxa"/>
            <w:vAlign w:val="center"/>
          </w:tcPr>
          <w:p w:rsidR="00C02E0F" w:rsidRDefault="00C80494">
            <w:pPr>
              <w:jc w:val="center"/>
            </w:pPr>
            <w:r>
              <w:t>562520</w:t>
            </w:r>
          </w:p>
        </w:tc>
        <w:tc>
          <w:tcPr>
            <w:tcW w:w="3102" w:type="dxa"/>
          </w:tcPr>
          <w:p w:rsidR="00C02E0F" w:rsidRDefault="00C80494">
            <w:r>
              <w:t>华夏中证智选</w:t>
            </w:r>
            <w:r>
              <w:t>1000</w:t>
            </w:r>
            <w:r>
              <w:t>成长创新策略交易型开放式指数证券投资基金</w:t>
            </w:r>
          </w:p>
        </w:tc>
        <w:tc>
          <w:tcPr>
            <w:tcW w:w="2045" w:type="dxa"/>
            <w:vAlign w:val="center"/>
          </w:tcPr>
          <w:p w:rsidR="00C02E0F" w:rsidRDefault="00C80494">
            <w:r>
              <w:t>1000</w:t>
            </w:r>
            <w:r>
              <w:t>成长</w:t>
            </w:r>
          </w:p>
        </w:tc>
        <w:tc>
          <w:tcPr>
            <w:tcW w:w="2394" w:type="dxa"/>
            <w:vAlign w:val="center"/>
          </w:tcPr>
          <w:p w:rsidR="00C02E0F" w:rsidRDefault="00C80494">
            <w:r>
              <w:t>中证</w:t>
            </w:r>
            <w:r>
              <w:t>1000</w:t>
            </w:r>
            <w:r>
              <w:t>成长</w:t>
            </w:r>
            <w:r>
              <w:t>ETF</w:t>
            </w:r>
          </w:p>
        </w:tc>
      </w:tr>
      <w:tr w:rsidR="00C02E0F">
        <w:trPr>
          <w:jc w:val="center"/>
        </w:trPr>
        <w:tc>
          <w:tcPr>
            <w:tcW w:w="1405" w:type="dxa"/>
            <w:vAlign w:val="center"/>
          </w:tcPr>
          <w:p w:rsidR="00C02E0F" w:rsidRDefault="00C80494">
            <w:pPr>
              <w:jc w:val="center"/>
            </w:pPr>
            <w:r>
              <w:t>562530</w:t>
            </w:r>
          </w:p>
        </w:tc>
        <w:tc>
          <w:tcPr>
            <w:tcW w:w="3102" w:type="dxa"/>
          </w:tcPr>
          <w:p w:rsidR="00C02E0F" w:rsidRDefault="00C80494">
            <w:r>
              <w:t>华夏中证智选</w:t>
            </w:r>
            <w:r>
              <w:t>1000</w:t>
            </w:r>
            <w:r>
              <w:t>价值稳健策略交易型开放式指数证券投资基金</w:t>
            </w:r>
          </w:p>
        </w:tc>
        <w:tc>
          <w:tcPr>
            <w:tcW w:w="2045" w:type="dxa"/>
            <w:vAlign w:val="center"/>
          </w:tcPr>
          <w:p w:rsidR="00C02E0F" w:rsidRDefault="00C80494">
            <w:r>
              <w:t>1000</w:t>
            </w:r>
            <w:r>
              <w:t>价值</w:t>
            </w:r>
          </w:p>
        </w:tc>
        <w:tc>
          <w:tcPr>
            <w:tcW w:w="2394" w:type="dxa"/>
            <w:vAlign w:val="center"/>
          </w:tcPr>
          <w:p w:rsidR="00C02E0F" w:rsidRDefault="00C80494">
            <w:r>
              <w:t>中证</w:t>
            </w:r>
            <w:r>
              <w:t>1000</w:t>
            </w:r>
            <w:r>
              <w:t>价值</w:t>
            </w:r>
            <w:r>
              <w:t>ETF</w:t>
            </w:r>
          </w:p>
        </w:tc>
      </w:tr>
      <w:tr w:rsidR="00C02E0F">
        <w:trPr>
          <w:jc w:val="center"/>
        </w:trPr>
        <w:tc>
          <w:tcPr>
            <w:tcW w:w="1405" w:type="dxa"/>
            <w:vAlign w:val="center"/>
          </w:tcPr>
          <w:p w:rsidR="00C02E0F" w:rsidRDefault="00C80494">
            <w:pPr>
              <w:jc w:val="center"/>
            </w:pPr>
            <w:r>
              <w:t>562550</w:t>
            </w:r>
          </w:p>
        </w:tc>
        <w:tc>
          <w:tcPr>
            <w:tcW w:w="3102" w:type="dxa"/>
          </w:tcPr>
          <w:p w:rsidR="00C02E0F" w:rsidRDefault="00C80494">
            <w:r>
              <w:t>华夏中证绿色电力交易型开放式指数证券投资基金</w:t>
            </w:r>
          </w:p>
        </w:tc>
        <w:tc>
          <w:tcPr>
            <w:tcW w:w="2045" w:type="dxa"/>
            <w:vAlign w:val="center"/>
          </w:tcPr>
          <w:p w:rsidR="00C02E0F" w:rsidRDefault="00C80494">
            <w:r>
              <w:t>绿电</w:t>
            </w:r>
            <w:r>
              <w:t>ETF</w:t>
            </w:r>
          </w:p>
        </w:tc>
        <w:tc>
          <w:tcPr>
            <w:tcW w:w="2394" w:type="dxa"/>
            <w:vAlign w:val="center"/>
          </w:tcPr>
          <w:p w:rsidR="00C02E0F" w:rsidRDefault="00C80494">
            <w:r>
              <w:t>绿电</w:t>
            </w:r>
            <w:r>
              <w:t>ETF</w:t>
            </w:r>
          </w:p>
        </w:tc>
      </w:tr>
      <w:tr w:rsidR="00C02E0F">
        <w:trPr>
          <w:jc w:val="center"/>
        </w:trPr>
        <w:tc>
          <w:tcPr>
            <w:tcW w:w="1405" w:type="dxa"/>
            <w:vAlign w:val="center"/>
          </w:tcPr>
          <w:p w:rsidR="00C02E0F" w:rsidRDefault="00C80494">
            <w:pPr>
              <w:jc w:val="center"/>
            </w:pPr>
            <w:r>
              <w:t>562560</w:t>
            </w:r>
          </w:p>
        </w:tc>
        <w:tc>
          <w:tcPr>
            <w:tcW w:w="3102" w:type="dxa"/>
          </w:tcPr>
          <w:p w:rsidR="00C02E0F" w:rsidRDefault="00C80494">
            <w:r>
              <w:t>华夏中证全指信息技术交易型开放式指数证券投资基金</w:t>
            </w:r>
          </w:p>
        </w:tc>
        <w:tc>
          <w:tcPr>
            <w:tcW w:w="2045" w:type="dxa"/>
            <w:vAlign w:val="center"/>
          </w:tcPr>
          <w:p w:rsidR="00C02E0F" w:rsidRDefault="00C80494">
            <w:r>
              <w:t>信息技术</w:t>
            </w:r>
          </w:p>
        </w:tc>
        <w:tc>
          <w:tcPr>
            <w:tcW w:w="2394" w:type="dxa"/>
            <w:vAlign w:val="center"/>
          </w:tcPr>
          <w:p w:rsidR="00C02E0F" w:rsidRDefault="00C80494">
            <w:r>
              <w:t>信息技术</w:t>
            </w:r>
            <w:r>
              <w:t>ETF</w:t>
            </w:r>
          </w:p>
        </w:tc>
      </w:tr>
      <w:tr w:rsidR="00C02E0F">
        <w:trPr>
          <w:jc w:val="center"/>
        </w:trPr>
        <w:tc>
          <w:tcPr>
            <w:tcW w:w="1405" w:type="dxa"/>
            <w:vAlign w:val="center"/>
          </w:tcPr>
          <w:p w:rsidR="00C02E0F" w:rsidRDefault="00C80494">
            <w:pPr>
              <w:jc w:val="center"/>
            </w:pPr>
            <w:r>
              <w:t>562570</w:t>
            </w:r>
          </w:p>
        </w:tc>
        <w:tc>
          <w:tcPr>
            <w:tcW w:w="3102" w:type="dxa"/>
          </w:tcPr>
          <w:p w:rsidR="00C02E0F" w:rsidRDefault="00C80494">
            <w:r>
              <w:t>华夏中证信息技术应用创新产业交易型开放式指数证券投资基金</w:t>
            </w:r>
          </w:p>
        </w:tc>
        <w:tc>
          <w:tcPr>
            <w:tcW w:w="2045" w:type="dxa"/>
            <w:vAlign w:val="center"/>
          </w:tcPr>
          <w:p w:rsidR="00C02E0F" w:rsidRDefault="00C80494">
            <w:r>
              <w:t>信创</w:t>
            </w:r>
            <w:r>
              <w:t>ETF</w:t>
            </w:r>
          </w:p>
        </w:tc>
        <w:tc>
          <w:tcPr>
            <w:tcW w:w="2394" w:type="dxa"/>
            <w:vAlign w:val="center"/>
          </w:tcPr>
          <w:p w:rsidR="00C02E0F" w:rsidRDefault="00C80494">
            <w:r>
              <w:t>信创</w:t>
            </w:r>
            <w:r>
              <w:t>ETF</w:t>
            </w:r>
          </w:p>
        </w:tc>
      </w:tr>
      <w:tr w:rsidR="00C02E0F">
        <w:trPr>
          <w:jc w:val="center"/>
        </w:trPr>
        <w:tc>
          <w:tcPr>
            <w:tcW w:w="1405" w:type="dxa"/>
            <w:vAlign w:val="center"/>
          </w:tcPr>
          <w:p w:rsidR="00C02E0F" w:rsidRDefault="00C80494">
            <w:pPr>
              <w:jc w:val="center"/>
            </w:pPr>
            <w:r>
              <w:t>562580</w:t>
            </w:r>
          </w:p>
        </w:tc>
        <w:tc>
          <w:tcPr>
            <w:tcW w:w="3102" w:type="dxa"/>
          </w:tcPr>
          <w:p w:rsidR="00C02E0F" w:rsidRDefault="00C80494">
            <w:r>
              <w:t>华夏中证全指可选消费交易型开放式指数证券投资基金</w:t>
            </w:r>
          </w:p>
        </w:tc>
        <w:tc>
          <w:tcPr>
            <w:tcW w:w="2045" w:type="dxa"/>
            <w:vAlign w:val="center"/>
          </w:tcPr>
          <w:p w:rsidR="00C02E0F" w:rsidRDefault="00C80494">
            <w:r>
              <w:t>可选消费</w:t>
            </w:r>
          </w:p>
        </w:tc>
        <w:tc>
          <w:tcPr>
            <w:tcW w:w="2394" w:type="dxa"/>
            <w:vAlign w:val="center"/>
          </w:tcPr>
          <w:p w:rsidR="00C02E0F" w:rsidRDefault="00C80494">
            <w:r>
              <w:t>可选消费</w:t>
            </w:r>
            <w:r>
              <w:t>ETF</w:t>
            </w:r>
          </w:p>
        </w:tc>
      </w:tr>
      <w:tr w:rsidR="00C02E0F">
        <w:trPr>
          <w:jc w:val="center"/>
        </w:trPr>
        <w:tc>
          <w:tcPr>
            <w:tcW w:w="1405" w:type="dxa"/>
            <w:vAlign w:val="center"/>
          </w:tcPr>
          <w:p w:rsidR="00C02E0F" w:rsidRDefault="00C80494">
            <w:pPr>
              <w:jc w:val="center"/>
            </w:pPr>
            <w:r>
              <w:t>562590</w:t>
            </w:r>
          </w:p>
        </w:tc>
        <w:tc>
          <w:tcPr>
            <w:tcW w:w="3102" w:type="dxa"/>
          </w:tcPr>
          <w:p w:rsidR="00C02E0F" w:rsidRDefault="00C80494">
            <w:r>
              <w:t>华夏中证半导体材料设备主题交易型开放式指数证券投资基金</w:t>
            </w:r>
          </w:p>
        </w:tc>
        <w:tc>
          <w:tcPr>
            <w:tcW w:w="2045" w:type="dxa"/>
            <w:vAlign w:val="center"/>
          </w:tcPr>
          <w:p w:rsidR="00C02E0F" w:rsidRDefault="00C80494">
            <w:r>
              <w:t>半导材料</w:t>
            </w:r>
          </w:p>
        </w:tc>
        <w:tc>
          <w:tcPr>
            <w:tcW w:w="2394" w:type="dxa"/>
            <w:vAlign w:val="center"/>
          </w:tcPr>
          <w:p w:rsidR="00C02E0F" w:rsidRDefault="00C80494">
            <w:r>
              <w:t>半导体材料</w:t>
            </w:r>
            <w:r>
              <w:t>ETF</w:t>
            </w:r>
          </w:p>
        </w:tc>
      </w:tr>
      <w:tr w:rsidR="00C02E0F">
        <w:trPr>
          <w:jc w:val="center"/>
        </w:trPr>
        <w:tc>
          <w:tcPr>
            <w:tcW w:w="1405" w:type="dxa"/>
            <w:vAlign w:val="center"/>
          </w:tcPr>
          <w:p w:rsidR="00C02E0F" w:rsidRDefault="00C80494">
            <w:pPr>
              <w:jc w:val="center"/>
            </w:pPr>
            <w:r>
              <w:t>562600</w:t>
            </w:r>
          </w:p>
        </w:tc>
        <w:tc>
          <w:tcPr>
            <w:tcW w:w="3102" w:type="dxa"/>
          </w:tcPr>
          <w:p w:rsidR="00C02E0F" w:rsidRDefault="00C80494">
            <w:r>
              <w:t>华夏中证全指医疗器械交易型开放式指数证券投资基金</w:t>
            </w:r>
          </w:p>
        </w:tc>
        <w:tc>
          <w:tcPr>
            <w:tcW w:w="2045" w:type="dxa"/>
            <w:vAlign w:val="center"/>
          </w:tcPr>
          <w:p w:rsidR="00C02E0F" w:rsidRDefault="00C80494">
            <w:r>
              <w:t>医疗器械</w:t>
            </w:r>
          </w:p>
        </w:tc>
        <w:tc>
          <w:tcPr>
            <w:tcW w:w="2394" w:type="dxa"/>
            <w:vAlign w:val="center"/>
          </w:tcPr>
          <w:p w:rsidR="00C02E0F" w:rsidRDefault="00C80494">
            <w:r>
              <w:t>医疗器械</w:t>
            </w:r>
            <w:r>
              <w:t>ETF</w:t>
            </w:r>
          </w:p>
        </w:tc>
      </w:tr>
      <w:tr w:rsidR="00C02E0F">
        <w:trPr>
          <w:jc w:val="center"/>
        </w:trPr>
        <w:tc>
          <w:tcPr>
            <w:tcW w:w="1405" w:type="dxa"/>
            <w:vAlign w:val="center"/>
          </w:tcPr>
          <w:p w:rsidR="00C02E0F" w:rsidRDefault="00C80494">
            <w:pPr>
              <w:jc w:val="center"/>
            </w:pPr>
            <w:r>
              <w:t>562660</w:t>
            </w:r>
          </w:p>
        </w:tc>
        <w:tc>
          <w:tcPr>
            <w:tcW w:w="3102" w:type="dxa"/>
          </w:tcPr>
          <w:p w:rsidR="00C02E0F" w:rsidRDefault="00C80494">
            <w:r>
              <w:t>华夏中证</w:t>
            </w:r>
            <w:r>
              <w:t>2000</w:t>
            </w:r>
            <w:r>
              <w:t>交易型开放式指数证券投资基金</w:t>
            </w:r>
          </w:p>
        </w:tc>
        <w:tc>
          <w:tcPr>
            <w:tcW w:w="2045" w:type="dxa"/>
            <w:vAlign w:val="center"/>
          </w:tcPr>
          <w:p w:rsidR="00C02E0F" w:rsidRDefault="00C80494">
            <w:r>
              <w:t>ZZ2000</w:t>
            </w:r>
          </w:p>
        </w:tc>
        <w:tc>
          <w:tcPr>
            <w:tcW w:w="2394" w:type="dxa"/>
            <w:vAlign w:val="center"/>
          </w:tcPr>
          <w:p w:rsidR="00C02E0F" w:rsidRDefault="00C80494">
            <w:r>
              <w:t>中证</w:t>
            </w:r>
            <w:r>
              <w:t>2000ETF</w:t>
            </w:r>
            <w:r>
              <w:t>华夏</w:t>
            </w:r>
          </w:p>
        </w:tc>
      </w:tr>
      <w:tr w:rsidR="00C02E0F">
        <w:trPr>
          <w:jc w:val="center"/>
        </w:trPr>
        <w:tc>
          <w:tcPr>
            <w:tcW w:w="1405" w:type="dxa"/>
            <w:vAlign w:val="center"/>
          </w:tcPr>
          <w:p w:rsidR="00C02E0F" w:rsidRDefault="00C80494">
            <w:pPr>
              <w:jc w:val="center"/>
            </w:pPr>
            <w:r>
              <w:t>562700</w:t>
            </w:r>
          </w:p>
        </w:tc>
        <w:tc>
          <w:tcPr>
            <w:tcW w:w="3102" w:type="dxa"/>
          </w:tcPr>
          <w:p w:rsidR="00C02E0F" w:rsidRDefault="00C80494">
            <w:r>
              <w:t>华夏中证汽车零部件主题交易型开放式指数证券投资基金</w:t>
            </w:r>
          </w:p>
        </w:tc>
        <w:tc>
          <w:tcPr>
            <w:tcW w:w="2045" w:type="dxa"/>
            <w:vAlign w:val="center"/>
          </w:tcPr>
          <w:p w:rsidR="00C02E0F" w:rsidRDefault="00C80494">
            <w:r>
              <w:t>汽车零件</w:t>
            </w:r>
          </w:p>
        </w:tc>
        <w:tc>
          <w:tcPr>
            <w:tcW w:w="2394" w:type="dxa"/>
            <w:vAlign w:val="center"/>
          </w:tcPr>
          <w:p w:rsidR="00C02E0F" w:rsidRDefault="00C80494">
            <w:r>
              <w:t>汽车零部件</w:t>
            </w:r>
            <w:r>
              <w:t>ETF</w:t>
            </w:r>
          </w:p>
        </w:tc>
      </w:tr>
      <w:tr w:rsidR="00C02E0F">
        <w:trPr>
          <w:jc w:val="center"/>
        </w:trPr>
        <w:tc>
          <w:tcPr>
            <w:tcW w:w="1405" w:type="dxa"/>
            <w:vAlign w:val="center"/>
          </w:tcPr>
          <w:p w:rsidR="00C02E0F" w:rsidRDefault="00C80494">
            <w:pPr>
              <w:jc w:val="center"/>
            </w:pPr>
            <w:r>
              <w:t>588000</w:t>
            </w:r>
          </w:p>
        </w:tc>
        <w:tc>
          <w:tcPr>
            <w:tcW w:w="3102" w:type="dxa"/>
          </w:tcPr>
          <w:p w:rsidR="00C02E0F" w:rsidRDefault="00C80494">
            <w:r>
              <w:t>华夏上证科创板</w:t>
            </w:r>
            <w:r>
              <w:t>50</w:t>
            </w:r>
            <w:r>
              <w:t>成份交易型开放式指数证券投资基金</w:t>
            </w:r>
          </w:p>
        </w:tc>
        <w:tc>
          <w:tcPr>
            <w:tcW w:w="2045" w:type="dxa"/>
            <w:vAlign w:val="center"/>
          </w:tcPr>
          <w:p w:rsidR="00C02E0F" w:rsidRDefault="00C80494">
            <w:r>
              <w:t>科创</w:t>
            </w:r>
            <w:r>
              <w:t>50</w:t>
            </w:r>
          </w:p>
        </w:tc>
        <w:tc>
          <w:tcPr>
            <w:tcW w:w="2394" w:type="dxa"/>
            <w:vAlign w:val="center"/>
          </w:tcPr>
          <w:p w:rsidR="00C02E0F" w:rsidRDefault="00C80494">
            <w:r>
              <w:t>科创</w:t>
            </w:r>
            <w:r>
              <w:t>50ETF</w:t>
            </w:r>
          </w:p>
        </w:tc>
      </w:tr>
      <w:tr w:rsidR="00C02E0F">
        <w:trPr>
          <w:jc w:val="center"/>
        </w:trPr>
        <w:tc>
          <w:tcPr>
            <w:tcW w:w="1405" w:type="dxa"/>
            <w:vAlign w:val="center"/>
          </w:tcPr>
          <w:p w:rsidR="00C02E0F" w:rsidRDefault="00C80494">
            <w:pPr>
              <w:jc w:val="center"/>
            </w:pPr>
            <w:r>
              <w:t>588170</w:t>
            </w:r>
          </w:p>
        </w:tc>
        <w:tc>
          <w:tcPr>
            <w:tcW w:w="3102" w:type="dxa"/>
          </w:tcPr>
          <w:p w:rsidR="00C02E0F" w:rsidRDefault="00C80494">
            <w:r>
              <w:t>华夏上证科创板半导体材料设备主题交易型开放式指数证券投资基金</w:t>
            </w:r>
          </w:p>
        </w:tc>
        <w:tc>
          <w:tcPr>
            <w:tcW w:w="2045" w:type="dxa"/>
            <w:vAlign w:val="center"/>
          </w:tcPr>
          <w:p w:rsidR="00C02E0F" w:rsidRDefault="00C80494">
            <w:r>
              <w:t>科创半导</w:t>
            </w:r>
          </w:p>
        </w:tc>
        <w:tc>
          <w:tcPr>
            <w:tcW w:w="2394" w:type="dxa"/>
            <w:vAlign w:val="center"/>
          </w:tcPr>
          <w:p w:rsidR="00C02E0F" w:rsidRDefault="00C80494">
            <w:r>
              <w:t>科创半导体</w:t>
            </w:r>
            <w:r>
              <w:t>ETF</w:t>
            </w:r>
          </w:p>
        </w:tc>
      </w:tr>
      <w:tr w:rsidR="00C02E0F">
        <w:trPr>
          <w:jc w:val="center"/>
        </w:trPr>
        <w:tc>
          <w:tcPr>
            <w:tcW w:w="1405" w:type="dxa"/>
            <w:vAlign w:val="center"/>
          </w:tcPr>
          <w:p w:rsidR="00C02E0F" w:rsidRDefault="00C80494">
            <w:pPr>
              <w:jc w:val="center"/>
            </w:pPr>
            <w:r>
              <w:t>588800</w:t>
            </w:r>
          </w:p>
        </w:tc>
        <w:tc>
          <w:tcPr>
            <w:tcW w:w="3102" w:type="dxa"/>
          </w:tcPr>
          <w:p w:rsidR="00C02E0F" w:rsidRDefault="00C80494">
            <w:r>
              <w:t>华夏上证科创板</w:t>
            </w:r>
            <w:r>
              <w:t>100</w:t>
            </w:r>
            <w:r>
              <w:t>交易型开放式指数证券投资基金</w:t>
            </w:r>
          </w:p>
        </w:tc>
        <w:tc>
          <w:tcPr>
            <w:tcW w:w="2045" w:type="dxa"/>
            <w:vAlign w:val="center"/>
          </w:tcPr>
          <w:p w:rsidR="00C02E0F" w:rsidRDefault="00C80494">
            <w:r>
              <w:t>科创</w:t>
            </w:r>
            <w:r>
              <w:t>100C</w:t>
            </w:r>
          </w:p>
        </w:tc>
        <w:tc>
          <w:tcPr>
            <w:tcW w:w="2394" w:type="dxa"/>
            <w:vAlign w:val="center"/>
          </w:tcPr>
          <w:p w:rsidR="00C02E0F" w:rsidRDefault="00C80494">
            <w:r>
              <w:t>科创</w:t>
            </w:r>
            <w:r>
              <w:t>100ETF</w:t>
            </w:r>
            <w:r>
              <w:t>华夏</w:t>
            </w:r>
          </w:p>
        </w:tc>
      </w:tr>
      <w:tr w:rsidR="00C02E0F">
        <w:trPr>
          <w:jc w:val="center"/>
        </w:trPr>
        <w:tc>
          <w:tcPr>
            <w:tcW w:w="1405" w:type="dxa"/>
            <w:vAlign w:val="center"/>
          </w:tcPr>
          <w:p w:rsidR="00C02E0F" w:rsidRDefault="00C80494">
            <w:pPr>
              <w:jc w:val="center"/>
            </w:pPr>
            <w:r>
              <w:t>588820</w:t>
            </w:r>
          </w:p>
        </w:tc>
        <w:tc>
          <w:tcPr>
            <w:tcW w:w="3102" w:type="dxa"/>
          </w:tcPr>
          <w:p w:rsidR="00C02E0F" w:rsidRDefault="00C80494">
            <w:r>
              <w:t>华夏上证科创板</w:t>
            </w:r>
            <w:r>
              <w:t>200</w:t>
            </w:r>
            <w:r>
              <w:t>交易型开放式指数证券投资基金</w:t>
            </w:r>
          </w:p>
        </w:tc>
        <w:tc>
          <w:tcPr>
            <w:tcW w:w="2045" w:type="dxa"/>
            <w:vAlign w:val="center"/>
          </w:tcPr>
          <w:p w:rsidR="00C02E0F" w:rsidRDefault="00C80494">
            <w:r>
              <w:t>科创</w:t>
            </w:r>
            <w:r>
              <w:t>200E</w:t>
            </w:r>
          </w:p>
        </w:tc>
        <w:tc>
          <w:tcPr>
            <w:tcW w:w="2394" w:type="dxa"/>
            <w:vAlign w:val="center"/>
          </w:tcPr>
          <w:p w:rsidR="00C02E0F" w:rsidRDefault="00C80494">
            <w:r>
              <w:t>科创</w:t>
            </w:r>
            <w:r>
              <w:t>200ETF</w:t>
            </w:r>
            <w:r>
              <w:t>基金</w:t>
            </w:r>
          </w:p>
        </w:tc>
      </w:tr>
      <w:tr w:rsidR="00C02E0F">
        <w:trPr>
          <w:jc w:val="center"/>
        </w:trPr>
        <w:tc>
          <w:tcPr>
            <w:tcW w:w="1405" w:type="dxa"/>
            <w:vAlign w:val="center"/>
          </w:tcPr>
          <w:p w:rsidR="00C02E0F" w:rsidRDefault="00C80494">
            <w:pPr>
              <w:jc w:val="center"/>
            </w:pPr>
            <w:r>
              <w:t>589000</w:t>
            </w:r>
          </w:p>
        </w:tc>
        <w:tc>
          <w:tcPr>
            <w:tcW w:w="3102" w:type="dxa"/>
          </w:tcPr>
          <w:p w:rsidR="00C02E0F" w:rsidRDefault="00C80494">
            <w:r>
              <w:t>华夏上证科创板综合交易型开放式指数证券投资基金</w:t>
            </w:r>
          </w:p>
        </w:tc>
        <w:tc>
          <w:tcPr>
            <w:tcW w:w="2045" w:type="dxa"/>
            <w:vAlign w:val="center"/>
          </w:tcPr>
          <w:p w:rsidR="00C02E0F" w:rsidRDefault="00C80494">
            <w:r>
              <w:t>科创综指</w:t>
            </w:r>
          </w:p>
        </w:tc>
        <w:tc>
          <w:tcPr>
            <w:tcW w:w="2394" w:type="dxa"/>
            <w:vAlign w:val="center"/>
          </w:tcPr>
          <w:p w:rsidR="00C02E0F" w:rsidRDefault="00C80494">
            <w:r>
              <w:t>科创综指</w:t>
            </w:r>
            <w:r>
              <w:t>ETF</w:t>
            </w:r>
            <w:r>
              <w:t>华夏</w:t>
            </w:r>
          </w:p>
        </w:tc>
      </w:tr>
      <w:tr w:rsidR="00C02E0F">
        <w:trPr>
          <w:jc w:val="center"/>
        </w:trPr>
        <w:tc>
          <w:tcPr>
            <w:tcW w:w="1405" w:type="dxa"/>
            <w:vAlign w:val="center"/>
          </w:tcPr>
          <w:p w:rsidR="00C02E0F" w:rsidRDefault="00C80494">
            <w:pPr>
              <w:jc w:val="center"/>
            </w:pPr>
            <w:r>
              <w:t>589010</w:t>
            </w:r>
          </w:p>
        </w:tc>
        <w:tc>
          <w:tcPr>
            <w:tcW w:w="3102" w:type="dxa"/>
          </w:tcPr>
          <w:p w:rsidR="00C02E0F" w:rsidRDefault="00C80494">
            <w:r>
              <w:t>华夏上证科创板人工智能交易型开放式指数证券投资基金</w:t>
            </w:r>
          </w:p>
        </w:tc>
        <w:tc>
          <w:tcPr>
            <w:tcW w:w="2045" w:type="dxa"/>
            <w:vAlign w:val="center"/>
          </w:tcPr>
          <w:p w:rsidR="00C02E0F" w:rsidRDefault="00C80494">
            <w:r>
              <w:t>科创</w:t>
            </w:r>
            <w:r>
              <w:t>AI</w:t>
            </w:r>
            <w:r>
              <w:t>指</w:t>
            </w:r>
          </w:p>
        </w:tc>
        <w:tc>
          <w:tcPr>
            <w:tcW w:w="2394" w:type="dxa"/>
            <w:vAlign w:val="center"/>
          </w:tcPr>
          <w:p w:rsidR="00C02E0F" w:rsidRDefault="00C80494">
            <w:r>
              <w:t>科创人工智能</w:t>
            </w:r>
            <w:r>
              <w:t>ETF</w:t>
            </w:r>
            <w:r>
              <w:t>华夏</w:t>
            </w:r>
          </w:p>
        </w:tc>
      </w:tr>
    </w:tbl>
    <w:p w:rsidR="00D440BE" w:rsidRPr="00005359" w:rsidRDefault="00D440BE" w:rsidP="00216EF1">
      <w:pPr>
        <w:spacing w:line="360" w:lineRule="auto"/>
        <w:ind w:firstLineChars="200" w:firstLine="480"/>
        <w:jc w:val="left"/>
        <w:outlineLvl w:val="0"/>
        <w:rPr>
          <w:rStyle w:val="c1"/>
          <w:color w:val="auto"/>
          <w:sz w:val="24"/>
          <w:szCs w:val="24"/>
        </w:rPr>
      </w:pPr>
      <w:r w:rsidRPr="00005359">
        <w:rPr>
          <w:rStyle w:val="c1"/>
          <w:rFonts w:hAnsi="宋体" w:hint="eastAsia"/>
          <w:color w:val="auto"/>
          <w:sz w:val="24"/>
          <w:szCs w:val="24"/>
        </w:rPr>
        <w:t>投资者可自</w:t>
      </w:r>
      <w:r w:rsidR="000A4260">
        <w:rPr>
          <w:rStyle w:val="c1"/>
          <w:rFonts w:hint="eastAsia"/>
          <w:color w:val="auto"/>
          <w:sz w:val="24"/>
          <w:szCs w:val="24"/>
        </w:rPr>
        <w:t>2025</w:t>
      </w:r>
      <w:r w:rsidR="000A4260">
        <w:rPr>
          <w:rStyle w:val="c1"/>
          <w:rFonts w:hint="eastAsia"/>
          <w:color w:val="auto"/>
          <w:sz w:val="24"/>
          <w:szCs w:val="24"/>
        </w:rPr>
        <w:t>年</w:t>
      </w:r>
      <w:r w:rsidR="000A4260">
        <w:rPr>
          <w:rStyle w:val="c1"/>
          <w:rFonts w:hint="eastAsia"/>
          <w:color w:val="auto"/>
          <w:sz w:val="24"/>
          <w:szCs w:val="24"/>
        </w:rPr>
        <w:t>7</w:t>
      </w:r>
      <w:r w:rsidR="000A4260">
        <w:rPr>
          <w:rStyle w:val="c1"/>
          <w:rFonts w:hint="eastAsia"/>
          <w:color w:val="auto"/>
          <w:sz w:val="24"/>
          <w:szCs w:val="24"/>
        </w:rPr>
        <w:t>月</w:t>
      </w:r>
      <w:r w:rsidR="000A4260">
        <w:rPr>
          <w:rStyle w:val="c1"/>
          <w:rFonts w:hint="eastAsia"/>
          <w:color w:val="auto"/>
          <w:sz w:val="24"/>
          <w:szCs w:val="24"/>
        </w:rPr>
        <w:t>30</w:t>
      </w:r>
      <w:r w:rsidR="000A4260">
        <w:rPr>
          <w:rStyle w:val="c1"/>
          <w:rFonts w:hint="eastAsia"/>
          <w:color w:val="auto"/>
          <w:sz w:val="24"/>
          <w:szCs w:val="24"/>
        </w:rPr>
        <w:t>日</w:t>
      </w:r>
      <w:r w:rsidRPr="00005359">
        <w:rPr>
          <w:rStyle w:val="c1"/>
          <w:rFonts w:hAnsi="宋体" w:hint="eastAsia"/>
          <w:color w:val="auto"/>
          <w:sz w:val="24"/>
          <w:szCs w:val="24"/>
        </w:rPr>
        <w:t>起在</w:t>
      </w:r>
      <w:r w:rsidR="000A4260">
        <w:rPr>
          <w:rFonts w:hAnsi="宋体" w:hint="eastAsia"/>
          <w:sz w:val="24"/>
        </w:rPr>
        <w:t>瑞银证券有限责任公司</w:t>
      </w:r>
      <w:r w:rsidR="00EA7CF7">
        <w:rPr>
          <w:rStyle w:val="c1"/>
          <w:rFonts w:ascii="宋体" w:hAnsi="宋体" w:hint="eastAsia"/>
          <w:color w:val="auto"/>
          <w:sz w:val="24"/>
          <w:szCs w:val="24"/>
        </w:rPr>
        <w:t>办理对应基金的申购、赎回等业务</w:t>
      </w:r>
      <w:r w:rsidR="00A0600C">
        <w:rPr>
          <w:rStyle w:val="c1"/>
          <w:rFonts w:ascii="宋体" w:hAnsi="宋体" w:hint="eastAsia"/>
          <w:color w:val="auto"/>
          <w:sz w:val="24"/>
          <w:szCs w:val="24"/>
        </w:rPr>
        <w:t>。投资者在销售机构办理</w:t>
      </w:r>
      <w:r w:rsidR="007B09C1">
        <w:rPr>
          <w:rStyle w:val="c1"/>
          <w:rFonts w:ascii="宋体" w:hAnsi="宋体" w:hint="eastAsia"/>
          <w:color w:val="auto"/>
          <w:sz w:val="24"/>
          <w:szCs w:val="24"/>
        </w:rPr>
        <w:t>基金</w:t>
      </w:r>
      <w:r w:rsidR="00A0600C">
        <w:rPr>
          <w:rStyle w:val="c1"/>
          <w:rFonts w:ascii="宋体" w:hAnsi="宋体" w:hint="eastAsia"/>
          <w:color w:val="auto"/>
          <w:sz w:val="24"/>
          <w:szCs w:val="24"/>
        </w:rPr>
        <w:t>申购赎回等业务的</w:t>
      </w:r>
      <w:r w:rsidR="00124CAF">
        <w:rPr>
          <w:rStyle w:val="c1"/>
          <w:color w:val="auto"/>
          <w:sz w:val="24"/>
          <w:szCs w:val="24"/>
        </w:rPr>
        <w:t>具体流程、规则等以各销售机构的规定为准，</w:t>
      </w:r>
      <w:r w:rsidRPr="00005359">
        <w:rPr>
          <w:rStyle w:val="c1"/>
          <w:color w:val="auto"/>
          <w:sz w:val="24"/>
          <w:szCs w:val="24"/>
        </w:rPr>
        <w:t>销售机构的业务办理状况亦</w:t>
      </w:r>
      <w:r w:rsidR="00A822F2">
        <w:rPr>
          <w:rStyle w:val="c1"/>
          <w:rFonts w:hint="eastAsia"/>
          <w:color w:val="auto"/>
          <w:sz w:val="24"/>
          <w:szCs w:val="24"/>
        </w:rPr>
        <w:t>请</w:t>
      </w:r>
      <w:r w:rsidRPr="00005359">
        <w:rPr>
          <w:rStyle w:val="c1"/>
          <w:color w:val="auto"/>
          <w:sz w:val="24"/>
          <w:szCs w:val="24"/>
        </w:rPr>
        <w:t>遵循其</w:t>
      </w:r>
      <w:r w:rsidR="00E70BD6">
        <w:rPr>
          <w:rStyle w:val="c1"/>
          <w:color w:val="auto"/>
          <w:sz w:val="24"/>
          <w:szCs w:val="24"/>
        </w:rPr>
        <w:t>各自</w:t>
      </w:r>
      <w:r w:rsidRPr="00005359">
        <w:rPr>
          <w:rStyle w:val="c1"/>
          <w:color w:val="auto"/>
          <w:sz w:val="24"/>
          <w:szCs w:val="24"/>
        </w:rPr>
        <w:t>规定执行。</w:t>
      </w:r>
    </w:p>
    <w:p w:rsidR="007577A2" w:rsidRPr="00005359" w:rsidRDefault="004B62DD" w:rsidP="00216EF1">
      <w:pPr>
        <w:spacing w:line="360" w:lineRule="auto"/>
        <w:ind w:firstLineChars="200" w:firstLine="480"/>
        <w:jc w:val="left"/>
        <w:outlineLvl w:val="0"/>
        <w:rPr>
          <w:rStyle w:val="c1"/>
          <w:rFonts w:hAnsi="宋体"/>
          <w:color w:val="auto"/>
          <w:sz w:val="24"/>
          <w:szCs w:val="24"/>
        </w:rPr>
      </w:pPr>
      <w:r w:rsidRPr="00005359">
        <w:rPr>
          <w:rStyle w:val="c1"/>
          <w:rFonts w:hAnsi="宋体" w:hint="eastAsia"/>
          <w:color w:val="auto"/>
          <w:kern w:val="0"/>
          <w:sz w:val="24"/>
          <w:szCs w:val="24"/>
        </w:rPr>
        <w:t>二</w:t>
      </w:r>
      <w:r w:rsidRPr="00005359">
        <w:rPr>
          <w:rStyle w:val="c1"/>
          <w:rFonts w:hAnsi="宋体"/>
          <w:color w:val="auto"/>
          <w:kern w:val="0"/>
          <w:sz w:val="24"/>
          <w:szCs w:val="24"/>
        </w:rPr>
        <w:t>、</w:t>
      </w:r>
      <w:r w:rsidR="009579E8" w:rsidRPr="00871C74">
        <w:rPr>
          <w:color w:val="000000"/>
          <w:sz w:val="24"/>
        </w:rPr>
        <w:t>咨询渠道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3135"/>
        <w:gridCol w:w="2442"/>
      </w:tblGrid>
      <w:tr w:rsidR="002971BF" w:rsidTr="002971BF">
        <w:tc>
          <w:tcPr>
            <w:tcW w:w="1883" w:type="pct"/>
            <w:shd w:val="clear" w:color="auto" w:fill="auto"/>
            <w:vAlign w:val="center"/>
          </w:tcPr>
          <w:p w:rsidR="002971BF" w:rsidRPr="00476B5C" w:rsidRDefault="002971BF" w:rsidP="00476B5C">
            <w:pPr>
              <w:spacing w:line="360" w:lineRule="auto"/>
              <w:jc w:val="center"/>
              <w:outlineLvl w:val="0"/>
              <w:rPr>
                <w:rFonts w:hAnsi="宋体"/>
                <w:b/>
                <w:bCs/>
                <w:kern w:val="0"/>
                <w:szCs w:val="21"/>
              </w:rPr>
            </w:pPr>
            <w:r w:rsidRPr="00476B5C">
              <w:rPr>
                <w:rFonts w:hAnsi="宋体"/>
                <w:b/>
                <w:bCs/>
                <w:kern w:val="0"/>
                <w:szCs w:val="21"/>
              </w:rPr>
              <w:t>销售机构名称</w:t>
            </w:r>
          </w:p>
        </w:tc>
        <w:tc>
          <w:tcPr>
            <w:tcW w:w="1752" w:type="pct"/>
            <w:shd w:val="clear" w:color="auto" w:fill="auto"/>
            <w:vAlign w:val="center"/>
          </w:tcPr>
          <w:p w:rsidR="002971BF" w:rsidRPr="00476B5C" w:rsidRDefault="002971BF" w:rsidP="00476B5C">
            <w:pPr>
              <w:spacing w:line="360" w:lineRule="auto"/>
              <w:jc w:val="center"/>
              <w:outlineLvl w:val="0"/>
              <w:rPr>
                <w:rFonts w:hAnsi="宋体"/>
                <w:kern w:val="0"/>
                <w:sz w:val="24"/>
              </w:rPr>
            </w:pPr>
            <w:r w:rsidRPr="00476B5C">
              <w:rPr>
                <w:rFonts w:hAnsi="宋体"/>
                <w:b/>
                <w:bCs/>
                <w:kern w:val="0"/>
                <w:szCs w:val="21"/>
              </w:rPr>
              <w:t>网址</w:t>
            </w:r>
          </w:p>
        </w:tc>
        <w:tc>
          <w:tcPr>
            <w:tcW w:w="1365" w:type="pct"/>
            <w:shd w:val="clear" w:color="auto" w:fill="auto"/>
            <w:vAlign w:val="center"/>
          </w:tcPr>
          <w:p w:rsidR="002971BF" w:rsidRPr="00476B5C" w:rsidRDefault="002971BF" w:rsidP="00476B5C">
            <w:pPr>
              <w:spacing w:line="360" w:lineRule="auto"/>
              <w:jc w:val="center"/>
              <w:outlineLvl w:val="0"/>
              <w:rPr>
                <w:rFonts w:hAnsi="宋体"/>
                <w:kern w:val="0"/>
                <w:sz w:val="24"/>
              </w:rPr>
            </w:pPr>
            <w:r w:rsidRPr="00476B5C">
              <w:rPr>
                <w:rFonts w:hAnsi="宋体"/>
                <w:b/>
                <w:bCs/>
                <w:kern w:val="0"/>
                <w:szCs w:val="21"/>
              </w:rPr>
              <w:t>客户服务电话</w:t>
            </w:r>
          </w:p>
        </w:tc>
      </w:tr>
      <w:tr w:rsidR="002742F7" w:rsidTr="002742F7">
        <w:tc>
          <w:tcPr>
            <w:tcW w:w="1883" w:type="pct"/>
          </w:tcPr>
          <w:p w:rsidR="00C02E0F" w:rsidRDefault="00C80494">
            <w:r>
              <w:t>瑞银证券有限责任公司</w:t>
            </w:r>
          </w:p>
        </w:tc>
        <w:tc>
          <w:tcPr>
            <w:tcW w:w="1752" w:type="pct"/>
            <w:shd w:val="clear" w:color="auto" w:fill="auto"/>
            <w:vAlign w:val="center"/>
          </w:tcPr>
          <w:p w:rsidR="00C02E0F" w:rsidRDefault="00C80494">
            <w:r>
              <w:t>www.ubssecurities.com</w:t>
            </w:r>
          </w:p>
        </w:tc>
        <w:tc>
          <w:tcPr>
            <w:tcW w:w="1365" w:type="pct"/>
            <w:shd w:val="clear" w:color="auto" w:fill="auto"/>
            <w:vAlign w:val="center"/>
          </w:tcPr>
          <w:p w:rsidR="00C02E0F" w:rsidRDefault="00C80494">
            <w:r>
              <w:t>400-887-8827</w:t>
            </w:r>
          </w:p>
        </w:tc>
      </w:tr>
    </w:tbl>
    <w:p w:rsidR="00A1106D" w:rsidRDefault="00A1106D" w:rsidP="00A1106D">
      <w:pPr>
        <w:spacing w:line="360" w:lineRule="auto"/>
        <w:ind w:firstLineChars="200" w:firstLine="480"/>
        <w:outlineLvl w:val="0"/>
        <w:rPr>
          <w:rFonts w:hAnsi="宋体"/>
          <w:sz w:val="24"/>
        </w:rPr>
      </w:pPr>
      <w:r w:rsidRPr="00755C67">
        <w:rPr>
          <w:rFonts w:hAnsi="宋体" w:hint="eastAsia"/>
          <w:sz w:val="24"/>
        </w:rPr>
        <w:t>投资者可拨打本公司客户服务电话（</w:t>
      </w:r>
      <w:r w:rsidRPr="00755C67">
        <w:rPr>
          <w:rFonts w:hAnsi="宋体" w:hint="eastAsia"/>
          <w:sz w:val="24"/>
        </w:rPr>
        <w:t>400-818-6666</w:t>
      </w:r>
      <w:r w:rsidRPr="00755C67">
        <w:rPr>
          <w:rFonts w:hAnsi="宋体" w:hint="eastAsia"/>
          <w:sz w:val="24"/>
        </w:rPr>
        <w:t>）或登录本公司网站（</w:t>
      </w:r>
      <w:r w:rsidRPr="00755C67">
        <w:rPr>
          <w:rFonts w:hAnsi="宋体" w:hint="eastAsia"/>
          <w:sz w:val="24"/>
        </w:rPr>
        <w:t>www.ChinaAMC.com</w:t>
      </w:r>
      <w:r w:rsidRPr="00755C67">
        <w:rPr>
          <w:rFonts w:hAnsi="宋体" w:hint="eastAsia"/>
          <w:sz w:val="24"/>
        </w:rPr>
        <w:t>）了解相关信息。</w:t>
      </w:r>
    </w:p>
    <w:p w:rsidR="00444E30" w:rsidRDefault="00444E30" w:rsidP="00216EF1">
      <w:pPr>
        <w:spacing w:line="360" w:lineRule="auto"/>
        <w:ind w:firstLineChars="200" w:firstLine="480"/>
        <w:jc w:val="left"/>
        <w:outlineLvl w:val="0"/>
        <w:rPr>
          <w:rStyle w:val="c1"/>
          <w:rFonts w:hAnsi="宋体"/>
          <w:color w:val="auto"/>
          <w:kern w:val="0"/>
          <w:sz w:val="24"/>
          <w:szCs w:val="24"/>
        </w:rPr>
      </w:pPr>
      <w:r>
        <w:rPr>
          <w:rFonts w:ascii="宋体" w:cs="宋体" w:hint="eastAsia"/>
          <w:kern w:val="0"/>
          <w:sz w:val="24"/>
        </w:rPr>
        <w:t>上述基金的申购赎回代办证券公司可通过本公司网站进行查询。</w:t>
      </w:r>
    </w:p>
    <w:p w:rsidR="00ED4403" w:rsidRDefault="00ED4403" w:rsidP="00216EF1">
      <w:pPr>
        <w:spacing w:line="360" w:lineRule="auto"/>
        <w:ind w:firstLineChars="200" w:firstLine="480"/>
        <w:jc w:val="left"/>
        <w:outlineLvl w:val="0"/>
        <w:rPr>
          <w:rStyle w:val="c1"/>
          <w:rFonts w:hAnsi="宋体"/>
          <w:color w:val="auto"/>
          <w:kern w:val="0"/>
          <w:sz w:val="24"/>
          <w:szCs w:val="24"/>
        </w:rPr>
      </w:pPr>
      <w:r w:rsidRPr="00005359">
        <w:rPr>
          <w:rStyle w:val="c1"/>
          <w:rFonts w:hAnsi="宋体"/>
          <w:color w:val="auto"/>
          <w:kern w:val="0"/>
          <w:sz w:val="24"/>
          <w:szCs w:val="24"/>
        </w:rPr>
        <w:t>特此公告</w:t>
      </w:r>
    </w:p>
    <w:p w:rsidR="003B51FA" w:rsidRDefault="003B51FA" w:rsidP="00216EF1">
      <w:pPr>
        <w:spacing w:line="360" w:lineRule="auto"/>
        <w:ind w:firstLineChars="200" w:firstLine="480"/>
        <w:jc w:val="left"/>
        <w:outlineLvl w:val="0"/>
        <w:rPr>
          <w:rStyle w:val="c1"/>
          <w:rFonts w:hAnsi="宋体"/>
          <w:color w:val="auto"/>
          <w:kern w:val="0"/>
          <w:sz w:val="24"/>
          <w:szCs w:val="24"/>
        </w:rPr>
      </w:pPr>
    </w:p>
    <w:p w:rsidR="003B51FA" w:rsidRDefault="003B51FA" w:rsidP="00216EF1">
      <w:pPr>
        <w:spacing w:line="360" w:lineRule="auto"/>
        <w:ind w:firstLineChars="200" w:firstLine="480"/>
        <w:jc w:val="left"/>
        <w:outlineLvl w:val="0"/>
        <w:rPr>
          <w:rStyle w:val="c1"/>
          <w:rFonts w:hAnsi="宋体"/>
          <w:color w:val="auto"/>
          <w:kern w:val="0"/>
          <w:sz w:val="24"/>
          <w:szCs w:val="24"/>
        </w:rPr>
      </w:pPr>
    </w:p>
    <w:p w:rsidR="00ED4403" w:rsidRPr="00005359" w:rsidRDefault="00ED4403" w:rsidP="00ED4403">
      <w:pPr>
        <w:spacing w:line="360" w:lineRule="auto"/>
        <w:ind w:firstLineChars="200" w:firstLine="480"/>
        <w:jc w:val="right"/>
        <w:rPr>
          <w:sz w:val="24"/>
        </w:rPr>
      </w:pPr>
      <w:r w:rsidRPr="00005359">
        <w:rPr>
          <w:rFonts w:hAnsi="宋体"/>
          <w:sz w:val="24"/>
        </w:rPr>
        <w:t>华夏基金管理有限公司</w:t>
      </w:r>
    </w:p>
    <w:p w:rsidR="008E5600" w:rsidRPr="006800D7" w:rsidRDefault="000A4260" w:rsidP="008E5600">
      <w:pPr>
        <w:spacing w:line="360" w:lineRule="auto"/>
        <w:ind w:firstLineChars="200" w:firstLine="480"/>
        <w:jc w:val="right"/>
        <w:rPr>
          <w:rFonts w:hAnsi="宋体"/>
          <w:sz w:val="24"/>
        </w:rPr>
      </w:pPr>
      <w:r>
        <w:rPr>
          <w:rFonts w:hAnsi="宋体" w:hint="eastAsia"/>
          <w:sz w:val="24"/>
        </w:rPr>
        <w:t>二〇二五年七月三十日</w:t>
      </w:r>
    </w:p>
    <w:p w:rsidR="00AB318C" w:rsidRPr="006800D7" w:rsidRDefault="00AB318C" w:rsidP="008E5600">
      <w:pPr>
        <w:spacing w:line="360" w:lineRule="auto"/>
        <w:ind w:firstLineChars="200" w:firstLine="480"/>
        <w:jc w:val="right"/>
        <w:rPr>
          <w:rFonts w:hAnsi="宋体"/>
          <w:sz w:val="24"/>
        </w:rPr>
      </w:pPr>
    </w:p>
    <w:sectPr w:rsidR="00AB318C" w:rsidRPr="006800D7" w:rsidSect="00A87F34">
      <w:headerReference w:type="default" r:id="rId8"/>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E00" w:rsidRDefault="001D1E00">
      <w:r>
        <w:separator/>
      </w:r>
    </w:p>
  </w:endnote>
  <w:endnote w:type="continuationSeparator" w:id="0">
    <w:p w:rsidR="001D1E00" w:rsidRDefault="001D1E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E00" w:rsidRDefault="001D1E00">
      <w:r>
        <w:separator/>
      </w:r>
    </w:p>
  </w:footnote>
  <w:footnote w:type="continuationSeparator" w:id="0">
    <w:p w:rsidR="001D1E00" w:rsidRDefault="001D1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03" w:rsidRDefault="000E2803" w:rsidP="00931E01">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E2947"/>
    <w:multiLevelType w:val="hybridMultilevel"/>
    <w:tmpl w:val="D68EA194"/>
    <w:lvl w:ilvl="0" w:tplc="FA20229A">
      <w:start w:val="1"/>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5096425"/>
    <w:multiLevelType w:val="hybridMultilevel"/>
    <w:tmpl w:val="8F60ED76"/>
    <w:lvl w:ilvl="0" w:tplc="287688A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75CC6069"/>
    <w:multiLevelType w:val="hybridMultilevel"/>
    <w:tmpl w:val="6BD8D916"/>
    <w:lvl w:ilvl="0" w:tplc="8DF0B918">
      <w:start w:val="1"/>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4403"/>
    <w:rsid w:val="00002286"/>
    <w:rsid w:val="00004A27"/>
    <w:rsid w:val="00005359"/>
    <w:rsid w:val="00005B0B"/>
    <w:rsid w:val="00011D4D"/>
    <w:rsid w:val="0001367A"/>
    <w:rsid w:val="00025FFB"/>
    <w:rsid w:val="0004030B"/>
    <w:rsid w:val="000422AF"/>
    <w:rsid w:val="00042706"/>
    <w:rsid w:val="0004528A"/>
    <w:rsid w:val="000515B4"/>
    <w:rsid w:val="00052927"/>
    <w:rsid w:val="00056734"/>
    <w:rsid w:val="00057433"/>
    <w:rsid w:val="000577F0"/>
    <w:rsid w:val="00062D7F"/>
    <w:rsid w:val="000678AC"/>
    <w:rsid w:val="00067FFC"/>
    <w:rsid w:val="00072ADD"/>
    <w:rsid w:val="00077EFE"/>
    <w:rsid w:val="000809A2"/>
    <w:rsid w:val="00082B5B"/>
    <w:rsid w:val="000A4260"/>
    <w:rsid w:val="000A6BB1"/>
    <w:rsid w:val="000B2C0E"/>
    <w:rsid w:val="000B6319"/>
    <w:rsid w:val="000B7CE7"/>
    <w:rsid w:val="000C0A87"/>
    <w:rsid w:val="000C5D7F"/>
    <w:rsid w:val="000D2D98"/>
    <w:rsid w:val="000D2E11"/>
    <w:rsid w:val="000E03A5"/>
    <w:rsid w:val="000E2803"/>
    <w:rsid w:val="000E3EAF"/>
    <w:rsid w:val="000F0115"/>
    <w:rsid w:val="000F2D06"/>
    <w:rsid w:val="000F512B"/>
    <w:rsid w:val="000F6DDC"/>
    <w:rsid w:val="00101842"/>
    <w:rsid w:val="00101C34"/>
    <w:rsid w:val="00101DA0"/>
    <w:rsid w:val="00102EC9"/>
    <w:rsid w:val="00103047"/>
    <w:rsid w:val="00103EED"/>
    <w:rsid w:val="00106317"/>
    <w:rsid w:val="00106360"/>
    <w:rsid w:val="00107186"/>
    <w:rsid w:val="0012378F"/>
    <w:rsid w:val="00124CAF"/>
    <w:rsid w:val="0013573D"/>
    <w:rsid w:val="001521C6"/>
    <w:rsid w:val="001559F7"/>
    <w:rsid w:val="00161241"/>
    <w:rsid w:val="00175C5E"/>
    <w:rsid w:val="00180F31"/>
    <w:rsid w:val="0018338F"/>
    <w:rsid w:val="00185854"/>
    <w:rsid w:val="001875AB"/>
    <w:rsid w:val="00192365"/>
    <w:rsid w:val="00193309"/>
    <w:rsid w:val="0019339D"/>
    <w:rsid w:val="00195436"/>
    <w:rsid w:val="001A3DC7"/>
    <w:rsid w:val="001A64E0"/>
    <w:rsid w:val="001A6C82"/>
    <w:rsid w:val="001B06B3"/>
    <w:rsid w:val="001C100F"/>
    <w:rsid w:val="001C1D22"/>
    <w:rsid w:val="001C2840"/>
    <w:rsid w:val="001C3801"/>
    <w:rsid w:val="001C5360"/>
    <w:rsid w:val="001D1E00"/>
    <w:rsid w:val="001E6855"/>
    <w:rsid w:val="001E7602"/>
    <w:rsid w:val="001F0D81"/>
    <w:rsid w:val="001F1672"/>
    <w:rsid w:val="001F292B"/>
    <w:rsid w:val="001F3AAB"/>
    <w:rsid w:val="00205C83"/>
    <w:rsid w:val="00207C71"/>
    <w:rsid w:val="0021388C"/>
    <w:rsid w:val="00216EF1"/>
    <w:rsid w:val="0022502B"/>
    <w:rsid w:val="002266B8"/>
    <w:rsid w:val="00231171"/>
    <w:rsid w:val="00236739"/>
    <w:rsid w:val="00241315"/>
    <w:rsid w:val="0024226E"/>
    <w:rsid w:val="00245877"/>
    <w:rsid w:val="00246CC3"/>
    <w:rsid w:val="00247188"/>
    <w:rsid w:val="002512E8"/>
    <w:rsid w:val="00251683"/>
    <w:rsid w:val="00254C3B"/>
    <w:rsid w:val="00261AF3"/>
    <w:rsid w:val="002648A8"/>
    <w:rsid w:val="002712CC"/>
    <w:rsid w:val="002742F7"/>
    <w:rsid w:val="00284B79"/>
    <w:rsid w:val="002920D0"/>
    <w:rsid w:val="002971BF"/>
    <w:rsid w:val="00297BE2"/>
    <w:rsid w:val="002A6A93"/>
    <w:rsid w:val="002B0F7B"/>
    <w:rsid w:val="002B3754"/>
    <w:rsid w:val="002B6158"/>
    <w:rsid w:val="002C3422"/>
    <w:rsid w:val="002C7459"/>
    <w:rsid w:val="002D60B2"/>
    <w:rsid w:val="002D7604"/>
    <w:rsid w:val="002E3117"/>
    <w:rsid w:val="002E685F"/>
    <w:rsid w:val="002F0FF8"/>
    <w:rsid w:val="002F19C4"/>
    <w:rsid w:val="002F301E"/>
    <w:rsid w:val="002F4933"/>
    <w:rsid w:val="002F71DF"/>
    <w:rsid w:val="00300D57"/>
    <w:rsid w:val="00305AA9"/>
    <w:rsid w:val="00311097"/>
    <w:rsid w:val="00335094"/>
    <w:rsid w:val="003370CB"/>
    <w:rsid w:val="003405D4"/>
    <w:rsid w:val="0034503E"/>
    <w:rsid w:val="003539A4"/>
    <w:rsid w:val="00353A73"/>
    <w:rsid w:val="00353F40"/>
    <w:rsid w:val="003635BD"/>
    <w:rsid w:val="00364840"/>
    <w:rsid w:val="003706ED"/>
    <w:rsid w:val="00377985"/>
    <w:rsid w:val="00384EFB"/>
    <w:rsid w:val="00387EED"/>
    <w:rsid w:val="00395364"/>
    <w:rsid w:val="0039565C"/>
    <w:rsid w:val="003A3B2B"/>
    <w:rsid w:val="003A530C"/>
    <w:rsid w:val="003A6FBA"/>
    <w:rsid w:val="003B242E"/>
    <w:rsid w:val="003B51FA"/>
    <w:rsid w:val="003C29AD"/>
    <w:rsid w:val="003D29CA"/>
    <w:rsid w:val="003E5187"/>
    <w:rsid w:val="003F2DF9"/>
    <w:rsid w:val="003F53F4"/>
    <w:rsid w:val="003F7251"/>
    <w:rsid w:val="00401793"/>
    <w:rsid w:val="00402DE5"/>
    <w:rsid w:val="0041481A"/>
    <w:rsid w:val="00416006"/>
    <w:rsid w:val="00430047"/>
    <w:rsid w:val="00434E8B"/>
    <w:rsid w:val="00440C2A"/>
    <w:rsid w:val="00442945"/>
    <w:rsid w:val="00443D48"/>
    <w:rsid w:val="00444E30"/>
    <w:rsid w:val="0044540A"/>
    <w:rsid w:val="0044565C"/>
    <w:rsid w:val="00447E98"/>
    <w:rsid w:val="0045087A"/>
    <w:rsid w:val="004510B9"/>
    <w:rsid w:val="0046280A"/>
    <w:rsid w:val="00467466"/>
    <w:rsid w:val="00470072"/>
    <w:rsid w:val="00470129"/>
    <w:rsid w:val="004708D6"/>
    <w:rsid w:val="00471E96"/>
    <w:rsid w:val="00476B5C"/>
    <w:rsid w:val="004815F4"/>
    <w:rsid w:val="00482F11"/>
    <w:rsid w:val="00483F62"/>
    <w:rsid w:val="00484474"/>
    <w:rsid w:val="004854DF"/>
    <w:rsid w:val="0049121A"/>
    <w:rsid w:val="004A6E7B"/>
    <w:rsid w:val="004B16E5"/>
    <w:rsid w:val="004B4356"/>
    <w:rsid w:val="004B6088"/>
    <w:rsid w:val="004B62DD"/>
    <w:rsid w:val="004B6D14"/>
    <w:rsid w:val="004C159B"/>
    <w:rsid w:val="004C2670"/>
    <w:rsid w:val="004C62AE"/>
    <w:rsid w:val="004D00A3"/>
    <w:rsid w:val="004D4700"/>
    <w:rsid w:val="004D51ED"/>
    <w:rsid w:val="004E6685"/>
    <w:rsid w:val="004E6E81"/>
    <w:rsid w:val="004E7975"/>
    <w:rsid w:val="004F7939"/>
    <w:rsid w:val="005036A0"/>
    <w:rsid w:val="00503D75"/>
    <w:rsid w:val="00504463"/>
    <w:rsid w:val="00512548"/>
    <w:rsid w:val="00513DC6"/>
    <w:rsid w:val="00520A23"/>
    <w:rsid w:val="00526299"/>
    <w:rsid w:val="00531B3E"/>
    <w:rsid w:val="005364FF"/>
    <w:rsid w:val="00536B26"/>
    <w:rsid w:val="00537A58"/>
    <w:rsid w:val="005433D0"/>
    <w:rsid w:val="00557B30"/>
    <w:rsid w:val="0056420D"/>
    <w:rsid w:val="005642CB"/>
    <w:rsid w:val="005724DC"/>
    <w:rsid w:val="005734C1"/>
    <w:rsid w:val="00581CE3"/>
    <w:rsid w:val="00591262"/>
    <w:rsid w:val="005A588A"/>
    <w:rsid w:val="005B1DE3"/>
    <w:rsid w:val="005B4A84"/>
    <w:rsid w:val="005B508B"/>
    <w:rsid w:val="005C39C3"/>
    <w:rsid w:val="005C73D7"/>
    <w:rsid w:val="005C7675"/>
    <w:rsid w:val="005E08BC"/>
    <w:rsid w:val="005E4DD6"/>
    <w:rsid w:val="005E607D"/>
    <w:rsid w:val="005E7708"/>
    <w:rsid w:val="005E7F0E"/>
    <w:rsid w:val="005F4C02"/>
    <w:rsid w:val="005F622B"/>
    <w:rsid w:val="00601248"/>
    <w:rsid w:val="0061161B"/>
    <w:rsid w:val="00611E9D"/>
    <w:rsid w:val="00623C23"/>
    <w:rsid w:val="00630AF9"/>
    <w:rsid w:val="00633A3C"/>
    <w:rsid w:val="00635513"/>
    <w:rsid w:val="00635B6D"/>
    <w:rsid w:val="006364FB"/>
    <w:rsid w:val="0064070C"/>
    <w:rsid w:val="00650336"/>
    <w:rsid w:val="00655122"/>
    <w:rsid w:val="006562B4"/>
    <w:rsid w:val="0065633F"/>
    <w:rsid w:val="006606D1"/>
    <w:rsid w:val="00664E3A"/>
    <w:rsid w:val="006653D4"/>
    <w:rsid w:val="00665E61"/>
    <w:rsid w:val="00665F49"/>
    <w:rsid w:val="0066615B"/>
    <w:rsid w:val="00667184"/>
    <w:rsid w:val="0066784D"/>
    <w:rsid w:val="00672CA5"/>
    <w:rsid w:val="006742E6"/>
    <w:rsid w:val="00674EA1"/>
    <w:rsid w:val="0067541F"/>
    <w:rsid w:val="006800D7"/>
    <w:rsid w:val="0068577C"/>
    <w:rsid w:val="0069316C"/>
    <w:rsid w:val="00693C52"/>
    <w:rsid w:val="006946A4"/>
    <w:rsid w:val="00695055"/>
    <w:rsid w:val="006A537C"/>
    <w:rsid w:val="006A7564"/>
    <w:rsid w:val="006B0473"/>
    <w:rsid w:val="006C179A"/>
    <w:rsid w:val="006C28CC"/>
    <w:rsid w:val="006C2EB9"/>
    <w:rsid w:val="006D36BB"/>
    <w:rsid w:val="006D47EA"/>
    <w:rsid w:val="006E0F5C"/>
    <w:rsid w:val="006E55FC"/>
    <w:rsid w:val="006E6504"/>
    <w:rsid w:val="006E6608"/>
    <w:rsid w:val="006E68A9"/>
    <w:rsid w:val="006E70A1"/>
    <w:rsid w:val="006E7BEB"/>
    <w:rsid w:val="006F715D"/>
    <w:rsid w:val="00703589"/>
    <w:rsid w:val="007062F4"/>
    <w:rsid w:val="0071009B"/>
    <w:rsid w:val="00710AF6"/>
    <w:rsid w:val="007148D6"/>
    <w:rsid w:val="00715163"/>
    <w:rsid w:val="00716D8D"/>
    <w:rsid w:val="007175D8"/>
    <w:rsid w:val="0073005E"/>
    <w:rsid w:val="00731DAE"/>
    <w:rsid w:val="0073283A"/>
    <w:rsid w:val="00733867"/>
    <w:rsid w:val="00736AF0"/>
    <w:rsid w:val="00737436"/>
    <w:rsid w:val="00754F30"/>
    <w:rsid w:val="007577A2"/>
    <w:rsid w:val="00760B95"/>
    <w:rsid w:val="00771DE7"/>
    <w:rsid w:val="00776153"/>
    <w:rsid w:val="00783168"/>
    <w:rsid w:val="007842E2"/>
    <w:rsid w:val="00785500"/>
    <w:rsid w:val="00791339"/>
    <w:rsid w:val="007924F4"/>
    <w:rsid w:val="007940D7"/>
    <w:rsid w:val="00796D3B"/>
    <w:rsid w:val="007A0829"/>
    <w:rsid w:val="007A4BFE"/>
    <w:rsid w:val="007A5889"/>
    <w:rsid w:val="007B09C1"/>
    <w:rsid w:val="007B1904"/>
    <w:rsid w:val="007B4700"/>
    <w:rsid w:val="007B6263"/>
    <w:rsid w:val="007C19F0"/>
    <w:rsid w:val="007C24FE"/>
    <w:rsid w:val="007C4220"/>
    <w:rsid w:val="007C740C"/>
    <w:rsid w:val="007D3036"/>
    <w:rsid w:val="007E3F6E"/>
    <w:rsid w:val="007F10CA"/>
    <w:rsid w:val="007F2052"/>
    <w:rsid w:val="007F720A"/>
    <w:rsid w:val="008067FD"/>
    <w:rsid w:val="00807BAD"/>
    <w:rsid w:val="00810DD6"/>
    <w:rsid w:val="00810FFE"/>
    <w:rsid w:val="00811E37"/>
    <w:rsid w:val="00812388"/>
    <w:rsid w:val="008258E1"/>
    <w:rsid w:val="00825EF8"/>
    <w:rsid w:val="008261CE"/>
    <w:rsid w:val="00832796"/>
    <w:rsid w:val="00832835"/>
    <w:rsid w:val="00841C1E"/>
    <w:rsid w:val="00843955"/>
    <w:rsid w:val="00845991"/>
    <w:rsid w:val="00854D00"/>
    <w:rsid w:val="008570C8"/>
    <w:rsid w:val="00866761"/>
    <w:rsid w:val="00874F7B"/>
    <w:rsid w:val="00876C28"/>
    <w:rsid w:val="0088704B"/>
    <w:rsid w:val="00890497"/>
    <w:rsid w:val="00890837"/>
    <w:rsid w:val="00893EDE"/>
    <w:rsid w:val="008957F4"/>
    <w:rsid w:val="00897277"/>
    <w:rsid w:val="008A1C29"/>
    <w:rsid w:val="008A5EE5"/>
    <w:rsid w:val="008A6375"/>
    <w:rsid w:val="008A7424"/>
    <w:rsid w:val="008B372D"/>
    <w:rsid w:val="008B40EF"/>
    <w:rsid w:val="008B5432"/>
    <w:rsid w:val="008C283B"/>
    <w:rsid w:val="008C71E2"/>
    <w:rsid w:val="008C7B6F"/>
    <w:rsid w:val="008D2F32"/>
    <w:rsid w:val="008D6915"/>
    <w:rsid w:val="008E0B09"/>
    <w:rsid w:val="008E5600"/>
    <w:rsid w:val="008F350B"/>
    <w:rsid w:val="008F3F69"/>
    <w:rsid w:val="008F7443"/>
    <w:rsid w:val="00905AD9"/>
    <w:rsid w:val="009076B1"/>
    <w:rsid w:val="00911BCB"/>
    <w:rsid w:val="00912386"/>
    <w:rsid w:val="00916BE2"/>
    <w:rsid w:val="00917FBF"/>
    <w:rsid w:val="00922ECA"/>
    <w:rsid w:val="00925DA3"/>
    <w:rsid w:val="00927D29"/>
    <w:rsid w:val="00931E01"/>
    <w:rsid w:val="00943EC7"/>
    <w:rsid w:val="009463A0"/>
    <w:rsid w:val="00955029"/>
    <w:rsid w:val="009579E8"/>
    <w:rsid w:val="00960A29"/>
    <w:rsid w:val="009630CF"/>
    <w:rsid w:val="0097000A"/>
    <w:rsid w:val="00982DAF"/>
    <w:rsid w:val="00983213"/>
    <w:rsid w:val="009857F3"/>
    <w:rsid w:val="0098633F"/>
    <w:rsid w:val="009A0B40"/>
    <w:rsid w:val="009A1B48"/>
    <w:rsid w:val="009A4625"/>
    <w:rsid w:val="009A5DD0"/>
    <w:rsid w:val="009B0035"/>
    <w:rsid w:val="009B0FA1"/>
    <w:rsid w:val="009B540C"/>
    <w:rsid w:val="009B7B27"/>
    <w:rsid w:val="009C058D"/>
    <w:rsid w:val="009C10A7"/>
    <w:rsid w:val="009C3B98"/>
    <w:rsid w:val="009E2C4A"/>
    <w:rsid w:val="009E2C89"/>
    <w:rsid w:val="009E44B6"/>
    <w:rsid w:val="009E6DAF"/>
    <w:rsid w:val="00A02531"/>
    <w:rsid w:val="00A04C64"/>
    <w:rsid w:val="00A0600C"/>
    <w:rsid w:val="00A1106D"/>
    <w:rsid w:val="00A214B6"/>
    <w:rsid w:val="00A370CD"/>
    <w:rsid w:val="00A375F7"/>
    <w:rsid w:val="00A40AFE"/>
    <w:rsid w:val="00A40F46"/>
    <w:rsid w:val="00A44763"/>
    <w:rsid w:val="00A5116D"/>
    <w:rsid w:val="00A56741"/>
    <w:rsid w:val="00A6274B"/>
    <w:rsid w:val="00A71FE2"/>
    <w:rsid w:val="00A7241E"/>
    <w:rsid w:val="00A822F2"/>
    <w:rsid w:val="00A87F34"/>
    <w:rsid w:val="00A94BC8"/>
    <w:rsid w:val="00A96511"/>
    <w:rsid w:val="00A97F24"/>
    <w:rsid w:val="00AB222D"/>
    <w:rsid w:val="00AB318C"/>
    <w:rsid w:val="00AC0A62"/>
    <w:rsid w:val="00AD0709"/>
    <w:rsid w:val="00AD0DEF"/>
    <w:rsid w:val="00AD2C59"/>
    <w:rsid w:val="00AD5D92"/>
    <w:rsid w:val="00AE4720"/>
    <w:rsid w:val="00AE73D4"/>
    <w:rsid w:val="00AF14A3"/>
    <w:rsid w:val="00AF304C"/>
    <w:rsid w:val="00AF3950"/>
    <w:rsid w:val="00AF7245"/>
    <w:rsid w:val="00AF7A16"/>
    <w:rsid w:val="00B017B0"/>
    <w:rsid w:val="00B01915"/>
    <w:rsid w:val="00B04C94"/>
    <w:rsid w:val="00B12D26"/>
    <w:rsid w:val="00B14779"/>
    <w:rsid w:val="00B17BED"/>
    <w:rsid w:val="00B22140"/>
    <w:rsid w:val="00B2680B"/>
    <w:rsid w:val="00B3536D"/>
    <w:rsid w:val="00B363F3"/>
    <w:rsid w:val="00B42640"/>
    <w:rsid w:val="00B50A70"/>
    <w:rsid w:val="00B5236E"/>
    <w:rsid w:val="00B529A7"/>
    <w:rsid w:val="00B53BF4"/>
    <w:rsid w:val="00B544FD"/>
    <w:rsid w:val="00B61033"/>
    <w:rsid w:val="00B64CDF"/>
    <w:rsid w:val="00B665F0"/>
    <w:rsid w:val="00B71179"/>
    <w:rsid w:val="00B72C2D"/>
    <w:rsid w:val="00B73863"/>
    <w:rsid w:val="00B81B15"/>
    <w:rsid w:val="00B81BEA"/>
    <w:rsid w:val="00B82F95"/>
    <w:rsid w:val="00B86A0F"/>
    <w:rsid w:val="00B92B2F"/>
    <w:rsid w:val="00B93D50"/>
    <w:rsid w:val="00B94A5E"/>
    <w:rsid w:val="00B95572"/>
    <w:rsid w:val="00B963DD"/>
    <w:rsid w:val="00BA3569"/>
    <w:rsid w:val="00BA3D3F"/>
    <w:rsid w:val="00BB3D9E"/>
    <w:rsid w:val="00BB52D7"/>
    <w:rsid w:val="00BB52EA"/>
    <w:rsid w:val="00BC4DD4"/>
    <w:rsid w:val="00BC5AEB"/>
    <w:rsid w:val="00BC63D2"/>
    <w:rsid w:val="00BD2A3B"/>
    <w:rsid w:val="00BD2BA1"/>
    <w:rsid w:val="00BE0EDF"/>
    <w:rsid w:val="00BE523E"/>
    <w:rsid w:val="00C0246E"/>
    <w:rsid w:val="00C02E0F"/>
    <w:rsid w:val="00C03953"/>
    <w:rsid w:val="00C210B2"/>
    <w:rsid w:val="00C22709"/>
    <w:rsid w:val="00C249D5"/>
    <w:rsid w:val="00C31D82"/>
    <w:rsid w:val="00C37F56"/>
    <w:rsid w:val="00C51331"/>
    <w:rsid w:val="00C51FDA"/>
    <w:rsid w:val="00C57F38"/>
    <w:rsid w:val="00C6282A"/>
    <w:rsid w:val="00C71199"/>
    <w:rsid w:val="00C747C0"/>
    <w:rsid w:val="00C768C2"/>
    <w:rsid w:val="00C76E95"/>
    <w:rsid w:val="00C7769D"/>
    <w:rsid w:val="00C80494"/>
    <w:rsid w:val="00C8099C"/>
    <w:rsid w:val="00C812EF"/>
    <w:rsid w:val="00C919D0"/>
    <w:rsid w:val="00C93FBC"/>
    <w:rsid w:val="00C94CEF"/>
    <w:rsid w:val="00C97ED0"/>
    <w:rsid w:val="00CA02D8"/>
    <w:rsid w:val="00CA03DD"/>
    <w:rsid w:val="00CA21DE"/>
    <w:rsid w:val="00CA327D"/>
    <w:rsid w:val="00CA3756"/>
    <w:rsid w:val="00CB2503"/>
    <w:rsid w:val="00CB5E3D"/>
    <w:rsid w:val="00CC2788"/>
    <w:rsid w:val="00CC7F40"/>
    <w:rsid w:val="00CD26B1"/>
    <w:rsid w:val="00CD271E"/>
    <w:rsid w:val="00CD3457"/>
    <w:rsid w:val="00CD3EF0"/>
    <w:rsid w:val="00CD534C"/>
    <w:rsid w:val="00CD5C1E"/>
    <w:rsid w:val="00CE234D"/>
    <w:rsid w:val="00CE79DE"/>
    <w:rsid w:val="00CF4742"/>
    <w:rsid w:val="00D008E5"/>
    <w:rsid w:val="00D064D3"/>
    <w:rsid w:val="00D07E55"/>
    <w:rsid w:val="00D11F5A"/>
    <w:rsid w:val="00D12DE3"/>
    <w:rsid w:val="00D14537"/>
    <w:rsid w:val="00D15B78"/>
    <w:rsid w:val="00D16266"/>
    <w:rsid w:val="00D203B5"/>
    <w:rsid w:val="00D2183E"/>
    <w:rsid w:val="00D22F47"/>
    <w:rsid w:val="00D26D99"/>
    <w:rsid w:val="00D37D7D"/>
    <w:rsid w:val="00D42669"/>
    <w:rsid w:val="00D440BE"/>
    <w:rsid w:val="00D44C0A"/>
    <w:rsid w:val="00D44CDE"/>
    <w:rsid w:val="00D47A78"/>
    <w:rsid w:val="00D5204A"/>
    <w:rsid w:val="00D61C59"/>
    <w:rsid w:val="00D64337"/>
    <w:rsid w:val="00D72348"/>
    <w:rsid w:val="00D7335E"/>
    <w:rsid w:val="00D76B06"/>
    <w:rsid w:val="00D77D02"/>
    <w:rsid w:val="00D80A7E"/>
    <w:rsid w:val="00D864FF"/>
    <w:rsid w:val="00D91E6E"/>
    <w:rsid w:val="00D92E11"/>
    <w:rsid w:val="00DB16E3"/>
    <w:rsid w:val="00DB1B75"/>
    <w:rsid w:val="00DB3224"/>
    <w:rsid w:val="00DB5FAC"/>
    <w:rsid w:val="00DB67C1"/>
    <w:rsid w:val="00DC10BB"/>
    <w:rsid w:val="00DC18F6"/>
    <w:rsid w:val="00DC7C9B"/>
    <w:rsid w:val="00DD5F51"/>
    <w:rsid w:val="00DE545F"/>
    <w:rsid w:val="00DE7A90"/>
    <w:rsid w:val="00DF5165"/>
    <w:rsid w:val="00E0164E"/>
    <w:rsid w:val="00E100AD"/>
    <w:rsid w:val="00E11E8B"/>
    <w:rsid w:val="00E12FFC"/>
    <w:rsid w:val="00E132A3"/>
    <w:rsid w:val="00E14098"/>
    <w:rsid w:val="00E21642"/>
    <w:rsid w:val="00E22A22"/>
    <w:rsid w:val="00E24707"/>
    <w:rsid w:val="00E31B57"/>
    <w:rsid w:val="00E32DA5"/>
    <w:rsid w:val="00E450A9"/>
    <w:rsid w:val="00E462F9"/>
    <w:rsid w:val="00E4748F"/>
    <w:rsid w:val="00E47EF4"/>
    <w:rsid w:val="00E614FD"/>
    <w:rsid w:val="00E70BD6"/>
    <w:rsid w:val="00E738E2"/>
    <w:rsid w:val="00E75DB7"/>
    <w:rsid w:val="00E75FC1"/>
    <w:rsid w:val="00E8016B"/>
    <w:rsid w:val="00E82854"/>
    <w:rsid w:val="00E86769"/>
    <w:rsid w:val="00E90262"/>
    <w:rsid w:val="00E97471"/>
    <w:rsid w:val="00EA072D"/>
    <w:rsid w:val="00EA1031"/>
    <w:rsid w:val="00EA1C50"/>
    <w:rsid w:val="00EA4F15"/>
    <w:rsid w:val="00EA7CF7"/>
    <w:rsid w:val="00EB06B3"/>
    <w:rsid w:val="00EB0F88"/>
    <w:rsid w:val="00EB7C0B"/>
    <w:rsid w:val="00EC4280"/>
    <w:rsid w:val="00ED11F9"/>
    <w:rsid w:val="00ED4403"/>
    <w:rsid w:val="00ED580B"/>
    <w:rsid w:val="00EE0E9F"/>
    <w:rsid w:val="00EE423E"/>
    <w:rsid w:val="00EE5315"/>
    <w:rsid w:val="00EF10BD"/>
    <w:rsid w:val="00EF389A"/>
    <w:rsid w:val="00F036D0"/>
    <w:rsid w:val="00F23CA7"/>
    <w:rsid w:val="00F30B22"/>
    <w:rsid w:val="00F320C3"/>
    <w:rsid w:val="00F3301A"/>
    <w:rsid w:val="00F401A7"/>
    <w:rsid w:val="00F41608"/>
    <w:rsid w:val="00F53DD8"/>
    <w:rsid w:val="00F549A0"/>
    <w:rsid w:val="00F748B2"/>
    <w:rsid w:val="00F74B45"/>
    <w:rsid w:val="00F77F54"/>
    <w:rsid w:val="00F91CF8"/>
    <w:rsid w:val="00F95FF0"/>
    <w:rsid w:val="00FA0560"/>
    <w:rsid w:val="00FA4B12"/>
    <w:rsid w:val="00FA4E1C"/>
    <w:rsid w:val="00FA668E"/>
    <w:rsid w:val="00FB3278"/>
    <w:rsid w:val="00FB4EDF"/>
    <w:rsid w:val="00FB7650"/>
    <w:rsid w:val="00FD330D"/>
    <w:rsid w:val="00FD4A03"/>
    <w:rsid w:val="00FF42FD"/>
    <w:rsid w:val="00FF436B"/>
    <w:rsid w:val="00FF51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10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1">
    <w:name w:val="d1"/>
    <w:rsid w:val="00ED4403"/>
    <w:rPr>
      <w:b/>
      <w:bCs/>
      <w:color w:val="000066"/>
      <w:sz w:val="21"/>
      <w:szCs w:val="21"/>
    </w:rPr>
  </w:style>
  <w:style w:type="paragraph" w:customStyle="1" w:styleId="c">
    <w:name w:val="c"/>
    <w:basedOn w:val="a"/>
    <w:rsid w:val="00ED4403"/>
    <w:pPr>
      <w:widowControl/>
      <w:spacing w:before="100" w:beforeAutospacing="1" w:after="100" w:afterAutospacing="1" w:line="300" w:lineRule="atLeast"/>
      <w:jc w:val="left"/>
    </w:pPr>
    <w:rPr>
      <w:rFonts w:ascii="Arial Unicode MS" w:eastAsia="Arial Unicode MS" w:hAnsi="Arial Unicode MS" w:cs="Arial Unicode MS"/>
      <w:color w:val="000000"/>
      <w:kern w:val="0"/>
      <w:sz w:val="18"/>
      <w:szCs w:val="18"/>
    </w:rPr>
  </w:style>
  <w:style w:type="character" w:customStyle="1" w:styleId="c1">
    <w:name w:val="c1"/>
    <w:rsid w:val="00ED4403"/>
    <w:rPr>
      <w:color w:val="000000"/>
      <w:sz w:val="18"/>
      <w:szCs w:val="18"/>
    </w:rPr>
  </w:style>
  <w:style w:type="paragraph" w:styleId="a3">
    <w:name w:val="Balloon Text"/>
    <w:basedOn w:val="a"/>
    <w:semiHidden/>
    <w:rsid w:val="00ED4403"/>
    <w:rPr>
      <w:sz w:val="18"/>
      <w:szCs w:val="18"/>
    </w:rPr>
  </w:style>
  <w:style w:type="paragraph" w:styleId="a4">
    <w:name w:val="header"/>
    <w:basedOn w:val="a"/>
    <w:link w:val="Char"/>
    <w:rsid w:val="000577F0"/>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4"/>
    <w:rsid w:val="000577F0"/>
    <w:rPr>
      <w:kern w:val="2"/>
      <w:sz w:val="18"/>
      <w:szCs w:val="18"/>
    </w:rPr>
  </w:style>
  <w:style w:type="paragraph" w:styleId="a5">
    <w:name w:val="footer"/>
    <w:basedOn w:val="a"/>
    <w:link w:val="Char0"/>
    <w:rsid w:val="000577F0"/>
    <w:pPr>
      <w:tabs>
        <w:tab w:val="center" w:pos="4153"/>
        <w:tab w:val="right" w:pos="8306"/>
      </w:tabs>
      <w:snapToGrid w:val="0"/>
      <w:jc w:val="left"/>
    </w:pPr>
    <w:rPr>
      <w:sz w:val="18"/>
      <w:szCs w:val="18"/>
      <w:lang/>
    </w:rPr>
  </w:style>
  <w:style w:type="character" w:customStyle="1" w:styleId="Char0">
    <w:name w:val="页脚 Char"/>
    <w:link w:val="a5"/>
    <w:rsid w:val="000577F0"/>
    <w:rPr>
      <w:kern w:val="2"/>
      <w:sz w:val="18"/>
      <w:szCs w:val="18"/>
    </w:rPr>
  </w:style>
  <w:style w:type="paragraph" w:styleId="a6">
    <w:name w:val="Document Map"/>
    <w:basedOn w:val="a"/>
    <w:link w:val="Char1"/>
    <w:rsid w:val="00931E01"/>
    <w:rPr>
      <w:rFonts w:ascii="宋体"/>
      <w:sz w:val="18"/>
      <w:szCs w:val="18"/>
      <w:lang/>
    </w:rPr>
  </w:style>
  <w:style w:type="character" w:customStyle="1" w:styleId="Char1">
    <w:name w:val="文档结构图 Char"/>
    <w:link w:val="a6"/>
    <w:rsid w:val="00931E01"/>
    <w:rPr>
      <w:rFonts w:ascii="宋体"/>
      <w:kern w:val="2"/>
      <w:sz w:val="18"/>
      <w:szCs w:val="18"/>
    </w:rPr>
  </w:style>
  <w:style w:type="table" w:styleId="a7">
    <w:name w:val="Table Grid"/>
    <w:basedOn w:val="a1"/>
    <w:rsid w:val="00E14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9E2C4A"/>
    <w:rPr>
      <w:color w:val="0000FF"/>
      <w:u w:val="single"/>
    </w:rPr>
  </w:style>
  <w:style w:type="paragraph" w:styleId="a9">
    <w:name w:val="Normal (Web)"/>
    <w:basedOn w:val="a"/>
    <w:rsid w:val="009E2C4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a">
    <w:name w:val="Revision"/>
    <w:hidden/>
    <w:uiPriority w:val="99"/>
    <w:semiHidden/>
    <w:rsid w:val="00CE234D"/>
    <w:rPr>
      <w:kern w:val="2"/>
      <w:sz w:val="21"/>
      <w:szCs w:val="24"/>
    </w:rPr>
  </w:style>
  <w:style w:type="character" w:styleId="ab">
    <w:name w:val="annotation reference"/>
    <w:rsid w:val="000C5D7F"/>
    <w:rPr>
      <w:sz w:val="21"/>
      <w:szCs w:val="21"/>
    </w:rPr>
  </w:style>
  <w:style w:type="paragraph" w:styleId="ac">
    <w:name w:val="annotation text"/>
    <w:basedOn w:val="a"/>
    <w:link w:val="Char2"/>
    <w:rsid w:val="000C5D7F"/>
    <w:pPr>
      <w:jc w:val="left"/>
    </w:pPr>
    <w:rPr>
      <w:lang/>
    </w:rPr>
  </w:style>
  <w:style w:type="character" w:customStyle="1" w:styleId="Char2">
    <w:name w:val="批注文字 Char"/>
    <w:link w:val="ac"/>
    <w:rsid w:val="000C5D7F"/>
    <w:rPr>
      <w:kern w:val="2"/>
      <w:sz w:val="21"/>
      <w:szCs w:val="24"/>
    </w:rPr>
  </w:style>
  <w:style w:type="paragraph" w:styleId="ad">
    <w:name w:val="annotation subject"/>
    <w:basedOn w:val="ac"/>
    <w:next w:val="ac"/>
    <w:link w:val="Char3"/>
    <w:rsid w:val="000C5D7F"/>
    <w:rPr>
      <w:b/>
      <w:bCs/>
    </w:rPr>
  </w:style>
  <w:style w:type="character" w:customStyle="1" w:styleId="Char3">
    <w:name w:val="批注主题 Char"/>
    <w:link w:val="ad"/>
    <w:rsid w:val="000C5D7F"/>
    <w:rPr>
      <w:b/>
      <w:bCs/>
      <w:kern w:val="2"/>
      <w:sz w:val="21"/>
      <w:szCs w:val="24"/>
    </w:rPr>
  </w:style>
</w:styles>
</file>

<file path=word/webSettings.xml><?xml version="1.0" encoding="utf-8"?>
<w:webSettings xmlns:r="http://schemas.openxmlformats.org/officeDocument/2006/relationships" xmlns:w="http://schemas.openxmlformats.org/wordprocessingml/2006/main">
  <w:divs>
    <w:div w:id="41488996">
      <w:bodyDiv w:val="1"/>
      <w:marLeft w:val="0"/>
      <w:marRight w:val="0"/>
      <w:marTop w:val="0"/>
      <w:marBottom w:val="0"/>
      <w:divBdr>
        <w:top w:val="none" w:sz="0" w:space="0" w:color="auto"/>
        <w:left w:val="none" w:sz="0" w:space="0" w:color="auto"/>
        <w:bottom w:val="none" w:sz="0" w:space="0" w:color="auto"/>
        <w:right w:val="none" w:sz="0" w:space="0" w:color="auto"/>
      </w:divBdr>
    </w:div>
    <w:div w:id="138160061">
      <w:bodyDiv w:val="1"/>
      <w:marLeft w:val="0"/>
      <w:marRight w:val="0"/>
      <w:marTop w:val="0"/>
      <w:marBottom w:val="0"/>
      <w:divBdr>
        <w:top w:val="none" w:sz="0" w:space="0" w:color="auto"/>
        <w:left w:val="none" w:sz="0" w:space="0" w:color="auto"/>
        <w:bottom w:val="none" w:sz="0" w:space="0" w:color="auto"/>
        <w:right w:val="none" w:sz="0" w:space="0" w:color="auto"/>
      </w:divBdr>
    </w:div>
    <w:div w:id="143789274">
      <w:bodyDiv w:val="1"/>
      <w:marLeft w:val="0"/>
      <w:marRight w:val="0"/>
      <w:marTop w:val="0"/>
      <w:marBottom w:val="0"/>
      <w:divBdr>
        <w:top w:val="none" w:sz="0" w:space="0" w:color="auto"/>
        <w:left w:val="none" w:sz="0" w:space="0" w:color="auto"/>
        <w:bottom w:val="none" w:sz="0" w:space="0" w:color="auto"/>
        <w:right w:val="none" w:sz="0" w:space="0" w:color="auto"/>
      </w:divBdr>
    </w:div>
    <w:div w:id="153842950">
      <w:bodyDiv w:val="1"/>
      <w:marLeft w:val="0"/>
      <w:marRight w:val="0"/>
      <w:marTop w:val="0"/>
      <w:marBottom w:val="0"/>
      <w:divBdr>
        <w:top w:val="none" w:sz="0" w:space="0" w:color="auto"/>
        <w:left w:val="none" w:sz="0" w:space="0" w:color="auto"/>
        <w:bottom w:val="none" w:sz="0" w:space="0" w:color="auto"/>
        <w:right w:val="none" w:sz="0" w:space="0" w:color="auto"/>
      </w:divBdr>
    </w:div>
    <w:div w:id="275790653">
      <w:bodyDiv w:val="1"/>
      <w:marLeft w:val="0"/>
      <w:marRight w:val="0"/>
      <w:marTop w:val="0"/>
      <w:marBottom w:val="0"/>
      <w:divBdr>
        <w:top w:val="none" w:sz="0" w:space="0" w:color="auto"/>
        <w:left w:val="none" w:sz="0" w:space="0" w:color="auto"/>
        <w:bottom w:val="none" w:sz="0" w:space="0" w:color="auto"/>
        <w:right w:val="none" w:sz="0" w:space="0" w:color="auto"/>
      </w:divBdr>
    </w:div>
    <w:div w:id="358704641">
      <w:bodyDiv w:val="1"/>
      <w:marLeft w:val="0"/>
      <w:marRight w:val="0"/>
      <w:marTop w:val="0"/>
      <w:marBottom w:val="0"/>
      <w:divBdr>
        <w:top w:val="none" w:sz="0" w:space="0" w:color="auto"/>
        <w:left w:val="none" w:sz="0" w:space="0" w:color="auto"/>
        <w:bottom w:val="none" w:sz="0" w:space="0" w:color="auto"/>
        <w:right w:val="none" w:sz="0" w:space="0" w:color="auto"/>
      </w:divBdr>
    </w:div>
    <w:div w:id="365444653">
      <w:bodyDiv w:val="1"/>
      <w:marLeft w:val="0"/>
      <w:marRight w:val="0"/>
      <w:marTop w:val="0"/>
      <w:marBottom w:val="0"/>
      <w:divBdr>
        <w:top w:val="none" w:sz="0" w:space="0" w:color="auto"/>
        <w:left w:val="none" w:sz="0" w:space="0" w:color="auto"/>
        <w:bottom w:val="none" w:sz="0" w:space="0" w:color="auto"/>
        <w:right w:val="none" w:sz="0" w:space="0" w:color="auto"/>
      </w:divBdr>
    </w:div>
    <w:div w:id="383724249">
      <w:bodyDiv w:val="1"/>
      <w:marLeft w:val="0"/>
      <w:marRight w:val="0"/>
      <w:marTop w:val="0"/>
      <w:marBottom w:val="0"/>
      <w:divBdr>
        <w:top w:val="none" w:sz="0" w:space="0" w:color="auto"/>
        <w:left w:val="none" w:sz="0" w:space="0" w:color="auto"/>
        <w:bottom w:val="none" w:sz="0" w:space="0" w:color="auto"/>
        <w:right w:val="none" w:sz="0" w:space="0" w:color="auto"/>
      </w:divBdr>
    </w:div>
    <w:div w:id="420179062">
      <w:bodyDiv w:val="1"/>
      <w:marLeft w:val="0"/>
      <w:marRight w:val="0"/>
      <w:marTop w:val="0"/>
      <w:marBottom w:val="0"/>
      <w:divBdr>
        <w:top w:val="none" w:sz="0" w:space="0" w:color="auto"/>
        <w:left w:val="none" w:sz="0" w:space="0" w:color="auto"/>
        <w:bottom w:val="none" w:sz="0" w:space="0" w:color="auto"/>
        <w:right w:val="none" w:sz="0" w:space="0" w:color="auto"/>
      </w:divBdr>
    </w:div>
    <w:div w:id="459763147">
      <w:bodyDiv w:val="1"/>
      <w:marLeft w:val="0"/>
      <w:marRight w:val="0"/>
      <w:marTop w:val="0"/>
      <w:marBottom w:val="0"/>
      <w:divBdr>
        <w:top w:val="none" w:sz="0" w:space="0" w:color="auto"/>
        <w:left w:val="none" w:sz="0" w:space="0" w:color="auto"/>
        <w:bottom w:val="none" w:sz="0" w:space="0" w:color="auto"/>
        <w:right w:val="none" w:sz="0" w:space="0" w:color="auto"/>
      </w:divBdr>
    </w:div>
    <w:div w:id="483745419">
      <w:bodyDiv w:val="1"/>
      <w:marLeft w:val="0"/>
      <w:marRight w:val="0"/>
      <w:marTop w:val="0"/>
      <w:marBottom w:val="0"/>
      <w:divBdr>
        <w:top w:val="none" w:sz="0" w:space="0" w:color="auto"/>
        <w:left w:val="none" w:sz="0" w:space="0" w:color="auto"/>
        <w:bottom w:val="none" w:sz="0" w:space="0" w:color="auto"/>
        <w:right w:val="none" w:sz="0" w:space="0" w:color="auto"/>
      </w:divBdr>
    </w:div>
    <w:div w:id="485249802">
      <w:bodyDiv w:val="1"/>
      <w:marLeft w:val="0"/>
      <w:marRight w:val="0"/>
      <w:marTop w:val="0"/>
      <w:marBottom w:val="0"/>
      <w:divBdr>
        <w:top w:val="none" w:sz="0" w:space="0" w:color="auto"/>
        <w:left w:val="none" w:sz="0" w:space="0" w:color="auto"/>
        <w:bottom w:val="none" w:sz="0" w:space="0" w:color="auto"/>
        <w:right w:val="none" w:sz="0" w:space="0" w:color="auto"/>
      </w:divBdr>
    </w:div>
    <w:div w:id="517891288">
      <w:bodyDiv w:val="1"/>
      <w:marLeft w:val="0"/>
      <w:marRight w:val="0"/>
      <w:marTop w:val="0"/>
      <w:marBottom w:val="0"/>
      <w:divBdr>
        <w:top w:val="none" w:sz="0" w:space="0" w:color="auto"/>
        <w:left w:val="none" w:sz="0" w:space="0" w:color="auto"/>
        <w:bottom w:val="none" w:sz="0" w:space="0" w:color="auto"/>
        <w:right w:val="none" w:sz="0" w:space="0" w:color="auto"/>
      </w:divBdr>
    </w:div>
    <w:div w:id="522944275">
      <w:bodyDiv w:val="1"/>
      <w:marLeft w:val="0"/>
      <w:marRight w:val="0"/>
      <w:marTop w:val="0"/>
      <w:marBottom w:val="0"/>
      <w:divBdr>
        <w:top w:val="none" w:sz="0" w:space="0" w:color="auto"/>
        <w:left w:val="none" w:sz="0" w:space="0" w:color="auto"/>
        <w:bottom w:val="none" w:sz="0" w:space="0" w:color="auto"/>
        <w:right w:val="none" w:sz="0" w:space="0" w:color="auto"/>
      </w:divBdr>
    </w:div>
    <w:div w:id="560137679">
      <w:bodyDiv w:val="1"/>
      <w:marLeft w:val="0"/>
      <w:marRight w:val="0"/>
      <w:marTop w:val="0"/>
      <w:marBottom w:val="0"/>
      <w:divBdr>
        <w:top w:val="none" w:sz="0" w:space="0" w:color="auto"/>
        <w:left w:val="none" w:sz="0" w:space="0" w:color="auto"/>
        <w:bottom w:val="none" w:sz="0" w:space="0" w:color="auto"/>
        <w:right w:val="none" w:sz="0" w:space="0" w:color="auto"/>
      </w:divBdr>
    </w:div>
    <w:div w:id="567225359">
      <w:bodyDiv w:val="1"/>
      <w:marLeft w:val="0"/>
      <w:marRight w:val="0"/>
      <w:marTop w:val="0"/>
      <w:marBottom w:val="0"/>
      <w:divBdr>
        <w:top w:val="none" w:sz="0" w:space="0" w:color="auto"/>
        <w:left w:val="none" w:sz="0" w:space="0" w:color="auto"/>
        <w:bottom w:val="none" w:sz="0" w:space="0" w:color="auto"/>
        <w:right w:val="none" w:sz="0" w:space="0" w:color="auto"/>
      </w:divBdr>
    </w:div>
    <w:div w:id="634916715">
      <w:bodyDiv w:val="1"/>
      <w:marLeft w:val="0"/>
      <w:marRight w:val="0"/>
      <w:marTop w:val="0"/>
      <w:marBottom w:val="0"/>
      <w:divBdr>
        <w:top w:val="none" w:sz="0" w:space="0" w:color="auto"/>
        <w:left w:val="none" w:sz="0" w:space="0" w:color="auto"/>
        <w:bottom w:val="none" w:sz="0" w:space="0" w:color="auto"/>
        <w:right w:val="none" w:sz="0" w:space="0" w:color="auto"/>
      </w:divBdr>
    </w:div>
    <w:div w:id="682512716">
      <w:bodyDiv w:val="1"/>
      <w:marLeft w:val="0"/>
      <w:marRight w:val="0"/>
      <w:marTop w:val="0"/>
      <w:marBottom w:val="0"/>
      <w:divBdr>
        <w:top w:val="none" w:sz="0" w:space="0" w:color="auto"/>
        <w:left w:val="none" w:sz="0" w:space="0" w:color="auto"/>
        <w:bottom w:val="none" w:sz="0" w:space="0" w:color="auto"/>
        <w:right w:val="none" w:sz="0" w:space="0" w:color="auto"/>
      </w:divBdr>
    </w:div>
    <w:div w:id="726074358">
      <w:bodyDiv w:val="1"/>
      <w:marLeft w:val="0"/>
      <w:marRight w:val="0"/>
      <w:marTop w:val="0"/>
      <w:marBottom w:val="0"/>
      <w:divBdr>
        <w:top w:val="none" w:sz="0" w:space="0" w:color="auto"/>
        <w:left w:val="none" w:sz="0" w:space="0" w:color="auto"/>
        <w:bottom w:val="none" w:sz="0" w:space="0" w:color="auto"/>
        <w:right w:val="none" w:sz="0" w:space="0" w:color="auto"/>
      </w:divBdr>
    </w:div>
    <w:div w:id="804079962">
      <w:bodyDiv w:val="1"/>
      <w:marLeft w:val="0"/>
      <w:marRight w:val="0"/>
      <w:marTop w:val="0"/>
      <w:marBottom w:val="0"/>
      <w:divBdr>
        <w:top w:val="none" w:sz="0" w:space="0" w:color="auto"/>
        <w:left w:val="none" w:sz="0" w:space="0" w:color="auto"/>
        <w:bottom w:val="none" w:sz="0" w:space="0" w:color="auto"/>
        <w:right w:val="none" w:sz="0" w:space="0" w:color="auto"/>
      </w:divBdr>
    </w:div>
    <w:div w:id="864094920">
      <w:bodyDiv w:val="1"/>
      <w:marLeft w:val="0"/>
      <w:marRight w:val="0"/>
      <w:marTop w:val="0"/>
      <w:marBottom w:val="0"/>
      <w:divBdr>
        <w:top w:val="none" w:sz="0" w:space="0" w:color="auto"/>
        <w:left w:val="none" w:sz="0" w:space="0" w:color="auto"/>
        <w:bottom w:val="none" w:sz="0" w:space="0" w:color="auto"/>
        <w:right w:val="none" w:sz="0" w:space="0" w:color="auto"/>
      </w:divBdr>
    </w:div>
    <w:div w:id="882330122">
      <w:bodyDiv w:val="1"/>
      <w:marLeft w:val="0"/>
      <w:marRight w:val="0"/>
      <w:marTop w:val="0"/>
      <w:marBottom w:val="0"/>
      <w:divBdr>
        <w:top w:val="none" w:sz="0" w:space="0" w:color="auto"/>
        <w:left w:val="none" w:sz="0" w:space="0" w:color="auto"/>
        <w:bottom w:val="none" w:sz="0" w:space="0" w:color="auto"/>
        <w:right w:val="none" w:sz="0" w:space="0" w:color="auto"/>
      </w:divBdr>
    </w:div>
    <w:div w:id="903639311">
      <w:bodyDiv w:val="1"/>
      <w:marLeft w:val="0"/>
      <w:marRight w:val="0"/>
      <w:marTop w:val="0"/>
      <w:marBottom w:val="0"/>
      <w:divBdr>
        <w:top w:val="none" w:sz="0" w:space="0" w:color="auto"/>
        <w:left w:val="none" w:sz="0" w:space="0" w:color="auto"/>
        <w:bottom w:val="none" w:sz="0" w:space="0" w:color="auto"/>
        <w:right w:val="none" w:sz="0" w:space="0" w:color="auto"/>
      </w:divBdr>
    </w:div>
    <w:div w:id="930090172">
      <w:bodyDiv w:val="1"/>
      <w:marLeft w:val="0"/>
      <w:marRight w:val="0"/>
      <w:marTop w:val="0"/>
      <w:marBottom w:val="0"/>
      <w:divBdr>
        <w:top w:val="none" w:sz="0" w:space="0" w:color="auto"/>
        <w:left w:val="none" w:sz="0" w:space="0" w:color="auto"/>
        <w:bottom w:val="none" w:sz="0" w:space="0" w:color="auto"/>
        <w:right w:val="none" w:sz="0" w:space="0" w:color="auto"/>
      </w:divBdr>
    </w:div>
    <w:div w:id="947345891">
      <w:bodyDiv w:val="1"/>
      <w:marLeft w:val="0"/>
      <w:marRight w:val="0"/>
      <w:marTop w:val="0"/>
      <w:marBottom w:val="0"/>
      <w:divBdr>
        <w:top w:val="none" w:sz="0" w:space="0" w:color="auto"/>
        <w:left w:val="none" w:sz="0" w:space="0" w:color="auto"/>
        <w:bottom w:val="none" w:sz="0" w:space="0" w:color="auto"/>
        <w:right w:val="none" w:sz="0" w:space="0" w:color="auto"/>
      </w:divBdr>
    </w:div>
    <w:div w:id="951518944">
      <w:bodyDiv w:val="1"/>
      <w:marLeft w:val="0"/>
      <w:marRight w:val="0"/>
      <w:marTop w:val="0"/>
      <w:marBottom w:val="0"/>
      <w:divBdr>
        <w:top w:val="none" w:sz="0" w:space="0" w:color="auto"/>
        <w:left w:val="none" w:sz="0" w:space="0" w:color="auto"/>
        <w:bottom w:val="none" w:sz="0" w:space="0" w:color="auto"/>
        <w:right w:val="none" w:sz="0" w:space="0" w:color="auto"/>
      </w:divBdr>
    </w:div>
    <w:div w:id="954405704">
      <w:bodyDiv w:val="1"/>
      <w:marLeft w:val="0"/>
      <w:marRight w:val="0"/>
      <w:marTop w:val="0"/>
      <w:marBottom w:val="0"/>
      <w:divBdr>
        <w:top w:val="none" w:sz="0" w:space="0" w:color="auto"/>
        <w:left w:val="none" w:sz="0" w:space="0" w:color="auto"/>
        <w:bottom w:val="none" w:sz="0" w:space="0" w:color="auto"/>
        <w:right w:val="none" w:sz="0" w:space="0" w:color="auto"/>
      </w:divBdr>
    </w:div>
    <w:div w:id="979336603">
      <w:bodyDiv w:val="1"/>
      <w:marLeft w:val="0"/>
      <w:marRight w:val="0"/>
      <w:marTop w:val="0"/>
      <w:marBottom w:val="0"/>
      <w:divBdr>
        <w:top w:val="none" w:sz="0" w:space="0" w:color="auto"/>
        <w:left w:val="none" w:sz="0" w:space="0" w:color="auto"/>
        <w:bottom w:val="none" w:sz="0" w:space="0" w:color="auto"/>
        <w:right w:val="none" w:sz="0" w:space="0" w:color="auto"/>
      </w:divBdr>
    </w:div>
    <w:div w:id="1001204005">
      <w:bodyDiv w:val="1"/>
      <w:marLeft w:val="0"/>
      <w:marRight w:val="0"/>
      <w:marTop w:val="0"/>
      <w:marBottom w:val="0"/>
      <w:divBdr>
        <w:top w:val="none" w:sz="0" w:space="0" w:color="auto"/>
        <w:left w:val="none" w:sz="0" w:space="0" w:color="auto"/>
        <w:bottom w:val="none" w:sz="0" w:space="0" w:color="auto"/>
        <w:right w:val="none" w:sz="0" w:space="0" w:color="auto"/>
      </w:divBdr>
    </w:div>
    <w:div w:id="1080256583">
      <w:bodyDiv w:val="1"/>
      <w:marLeft w:val="0"/>
      <w:marRight w:val="0"/>
      <w:marTop w:val="0"/>
      <w:marBottom w:val="0"/>
      <w:divBdr>
        <w:top w:val="none" w:sz="0" w:space="0" w:color="auto"/>
        <w:left w:val="none" w:sz="0" w:space="0" w:color="auto"/>
        <w:bottom w:val="none" w:sz="0" w:space="0" w:color="auto"/>
        <w:right w:val="none" w:sz="0" w:space="0" w:color="auto"/>
      </w:divBdr>
    </w:div>
    <w:div w:id="1128740004">
      <w:bodyDiv w:val="1"/>
      <w:marLeft w:val="0"/>
      <w:marRight w:val="0"/>
      <w:marTop w:val="0"/>
      <w:marBottom w:val="0"/>
      <w:divBdr>
        <w:top w:val="none" w:sz="0" w:space="0" w:color="auto"/>
        <w:left w:val="none" w:sz="0" w:space="0" w:color="auto"/>
        <w:bottom w:val="none" w:sz="0" w:space="0" w:color="auto"/>
        <w:right w:val="none" w:sz="0" w:space="0" w:color="auto"/>
      </w:divBdr>
    </w:div>
    <w:div w:id="1169834217">
      <w:bodyDiv w:val="1"/>
      <w:marLeft w:val="0"/>
      <w:marRight w:val="0"/>
      <w:marTop w:val="0"/>
      <w:marBottom w:val="0"/>
      <w:divBdr>
        <w:top w:val="none" w:sz="0" w:space="0" w:color="auto"/>
        <w:left w:val="none" w:sz="0" w:space="0" w:color="auto"/>
        <w:bottom w:val="none" w:sz="0" w:space="0" w:color="auto"/>
        <w:right w:val="none" w:sz="0" w:space="0" w:color="auto"/>
      </w:divBdr>
    </w:div>
    <w:div w:id="1177619138">
      <w:bodyDiv w:val="1"/>
      <w:marLeft w:val="0"/>
      <w:marRight w:val="0"/>
      <w:marTop w:val="0"/>
      <w:marBottom w:val="0"/>
      <w:divBdr>
        <w:top w:val="none" w:sz="0" w:space="0" w:color="auto"/>
        <w:left w:val="none" w:sz="0" w:space="0" w:color="auto"/>
        <w:bottom w:val="none" w:sz="0" w:space="0" w:color="auto"/>
        <w:right w:val="none" w:sz="0" w:space="0" w:color="auto"/>
      </w:divBdr>
    </w:div>
    <w:div w:id="1196693828">
      <w:bodyDiv w:val="1"/>
      <w:marLeft w:val="0"/>
      <w:marRight w:val="0"/>
      <w:marTop w:val="0"/>
      <w:marBottom w:val="0"/>
      <w:divBdr>
        <w:top w:val="none" w:sz="0" w:space="0" w:color="auto"/>
        <w:left w:val="none" w:sz="0" w:space="0" w:color="auto"/>
        <w:bottom w:val="none" w:sz="0" w:space="0" w:color="auto"/>
        <w:right w:val="none" w:sz="0" w:space="0" w:color="auto"/>
      </w:divBdr>
    </w:div>
    <w:div w:id="1311908555">
      <w:bodyDiv w:val="1"/>
      <w:marLeft w:val="0"/>
      <w:marRight w:val="0"/>
      <w:marTop w:val="0"/>
      <w:marBottom w:val="0"/>
      <w:divBdr>
        <w:top w:val="none" w:sz="0" w:space="0" w:color="auto"/>
        <w:left w:val="none" w:sz="0" w:space="0" w:color="auto"/>
        <w:bottom w:val="none" w:sz="0" w:space="0" w:color="auto"/>
        <w:right w:val="none" w:sz="0" w:space="0" w:color="auto"/>
      </w:divBdr>
    </w:div>
    <w:div w:id="1350251031">
      <w:bodyDiv w:val="1"/>
      <w:marLeft w:val="0"/>
      <w:marRight w:val="0"/>
      <w:marTop w:val="0"/>
      <w:marBottom w:val="0"/>
      <w:divBdr>
        <w:top w:val="none" w:sz="0" w:space="0" w:color="auto"/>
        <w:left w:val="none" w:sz="0" w:space="0" w:color="auto"/>
        <w:bottom w:val="none" w:sz="0" w:space="0" w:color="auto"/>
        <w:right w:val="none" w:sz="0" w:space="0" w:color="auto"/>
      </w:divBdr>
    </w:div>
    <w:div w:id="1389111907">
      <w:bodyDiv w:val="1"/>
      <w:marLeft w:val="0"/>
      <w:marRight w:val="0"/>
      <w:marTop w:val="0"/>
      <w:marBottom w:val="0"/>
      <w:divBdr>
        <w:top w:val="none" w:sz="0" w:space="0" w:color="auto"/>
        <w:left w:val="none" w:sz="0" w:space="0" w:color="auto"/>
        <w:bottom w:val="none" w:sz="0" w:space="0" w:color="auto"/>
        <w:right w:val="none" w:sz="0" w:space="0" w:color="auto"/>
      </w:divBdr>
    </w:div>
    <w:div w:id="1415973476">
      <w:bodyDiv w:val="1"/>
      <w:marLeft w:val="0"/>
      <w:marRight w:val="0"/>
      <w:marTop w:val="0"/>
      <w:marBottom w:val="0"/>
      <w:divBdr>
        <w:top w:val="none" w:sz="0" w:space="0" w:color="auto"/>
        <w:left w:val="none" w:sz="0" w:space="0" w:color="auto"/>
        <w:bottom w:val="none" w:sz="0" w:space="0" w:color="auto"/>
        <w:right w:val="none" w:sz="0" w:space="0" w:color="auto"/>
      </w:divBdr>
    </w:div>
    <w:div w:id="1417748203">
      <w:bodyDiv w:val="1"/>
      <w:marLeft w:val="0"/>
      <w:marRight w:val="0"/>
      <w:marTop w:val="0"/>
      <w:marBottom w:val="0"/>
      <w:divBdr>
        <w:top w:val="none" w:sz="0" w:space="0" w:color="auto"/>
        <w:left w:val="none" w:sz="0" w:space="0" w:color="auto"/>
        <w:bottom w:val="none" w:sz="0" w:space="0" w:color="auto"/>
        <w:right w:val="none" w:sz="0" w:space="0" w:color="auto"/>
      </w:divBdr>
    </w:div>
    <w:div w:id="1532113378">
      <w:bodyDiv w:val="1"/>
      <w:marLeft w:val="0"/>
      <w:marRight w:val="0"/>
      <w:marTop w:val="0"/>
      <w:marBottom w:val="0"/>
      <w:divBdr>
        <w:top w:val="none" w:sz="0" w:space="0" w:color="auto"/>
        <w:left w:val="none" w:sz="0" w:space="0" w:color="auto"/>
        <w:bottom w:val="none" w:sz="0" w:space="0" w:color="auto"/>
        <w:right w:val="none" w:sz="0" w:space="0" w:color="auto"/>
      </w:divBdr>
    </w:div>
    <w:div w:id="1547185405">
      <w:bodyDiv w:val="1"/>
      <w:marLeft w:val="0"/>
      <w:marRight w:val="0"/>
      <w:marTop w:val="0"/>
      <w:marBottom w:val="0"/>
      <w:divBdr>
        <w:top w:val="none" w:sz="0" w:space="0" w:color="auto"/>
        <w:left w:val="none" w:sz="0" w:space="0" w:color="auto"/>
        <w:bottom w:val="none" w:sz="0" w:space="0" w:color="auto"/>
        <w:right w:val="none" w:sz="0" w:space="0" w:color="auto"/>
      </w:divBdr>
    </w:div>
    <w:div w:id="1551262778">
      <w:bodyDiv w:val="1"/>
      <w:marLeft w:val="0"/>
      <w:marRight w:val="0"/>
      <w:marTop w:val="0"/>
      <w:marBottom w:val="0"/>
      <w:divBdr>
        <w:top w:val="none" w:sz="0" w:space="0" w:color="auto"/>
        <w:left w:val="none" w:sz="0" w:space="0" w:color="auto"/>
        <w:bottom w:val="none" w:sz="0" w:space="0" w:color="auto"/>
        <w:right w:val="none" w:sz="0" w:space="0" w:color="auto"/>
      </w:divBdr>
    </w:div>
    <w:div w:id="1743599435">
      <w:bodyDiv w:val="1"/>
      <w:marLeft w:val="0"/>
      <w:marRight w:val="0"/>
      <w:marTop w:val="0"/>
      <w:marBottom w:val="0"/>
      <w:divBdr>
        <w:top w:val="none" w:sz="0" w:space="0" w:color="auto"/>
        <w:left w:val="none" w:sz="0" w:space="0" w:color="auto"/>
        <w:bottom w:val="none" w:sz="0" w:space="0" w:color="auto"/>
        <w:right w:val="none" w:sz="0" w:space="0" w:color="auto"/>
      </w:divBdr>
    </w:div>
    <w:div w:id="1753697071">
      <w:bodyDiv w:val="1"/>
      <w:marLeft w:val="0"/>
      <w:marRight w:val="0"/>
      <w:marTop w:val="0"/>
      <w:marBottom w:val="0"/>
      <w:divBdr>
        <w:top w:val="none" w:sz="0" w:space="0" w:color="auto"/>
        <w:left w:val="none" w:sz="0" w:space="0" w:color="auto"/>
        <w:bottom w:val="none" w:sz="0" w:space="0" w:color="auto"/>
        <w:right w:val="none" w:sz="0" w:space="0" w:color="auto"/>
      </w:divBdr>
    </w:div>
    <w:div w:id="1788960190">
      <w:bodyDiv w:val="1"/>
      <w:marLeft w:val="0"/>
      <w:marRight w:val="0"/>
      <w:marTop w:val="0"/>
      <w:marBottom w:val="0"/>
      <w:divBdr>
        <w:top w:val="none" w:sz="0" w:space="0" w:color="auto"/>
        <w:left w:val="none" w:sz="0" w:space="0" w:color="auto"/>
        <w:bottom w:val="none" w:sz="0" w:space="0" w:color="auto"/>
        <w:right w:val="none" w:sz="0" w:space="0" w:color="auto"/>
      </w:divBdr>
    </w:div>
    <w:div w:id="1856770775">
      <w:bodyDiv w:val="1"/>
      <w:marLeft w:val="0"/>
      <w:marRight w:val="0"/>
      <w:marTop w:val="0"/>
      <w:marBottom w:val="0"/>
      <w:divBdr>
        <w:top w:val="none" w:sz="0" w:space="0" w:color="auto"/>
        <w:left w:val="none" w:sz="0" w:space="0" w:color="auto"/>
        <w:bottom w:val="none" w:sz="0" w:space="0" w:color="auto"/>
        <w:right w:val="none" w:sz="0" w:space="0" w:color="auto"/>
      </w:divBdr>
    </w:div>
    <w:div w:id="1898933487">
      <w:bodyDiv w:val="1"/>
      <w:marLeft w:val="0"/>
      <w:marRight w:val="0"/>
      <w:marTop w:val="0"/>
      <w:marBottom w:val="0"/>
      <w:divBdr>
        <w:top w:val="none" w:sz="0" w:space="0" w:color="auto"/>
        <w:left w:val="none" w:sz="0" w:space="0" w:color="auto"/>
        <w:bottom w:val="none" w:sz="0" w:space="0" w:color="auto"/>
        <w:right w:val="none" w:sz="0" w:space="0" w:color="auto"/>
      </w:divBdr>
    </w:div>
    <w:div w:id="1907496235">
      <w:bodyDiv w:val="1"/>
      <w:marLeft w:val="0"/>
      <w:marRight w:val="0"/>
      <w:marTop w:val="0"/>
      <w:marBottom w:val="0"/>
      <w:divBdr>
        <w:top w:val="none" w:sz="0" w:space="0" w:color="auto"/>
        <w:left w:val="none" w:sz="0" w:space="0" w:color="auto"/>
        <w:bottom w:val="none" w:sz="0" w:space="0" w:color="auto"/>
        <w:right w:val="none" w:sz="0" w:space="0" w:color="auto"/>
      </w:divBdr>
    </w:div>
    <w:div w:id="2101636297">
      <w:bodyDiv w:val="1"/>
      <w:marLeft w:val="0"/>
      <w:marRight w:val="0"/>
      <w:marTop w:val="0"/>
      <w:marBottom w:val="0"/>
      <w:divBdr>
        <w:top w:val="none" w:sz="0" w:space="0" w:color="auto"/>
        <w:left w:val="none" w:sz="0" w:space="0" w:color="auto"/>
        <w:bottom w:val="none" w:sz="0" w:space="0" w:color="auto"/>
        <w:right w:val="none" w:sz="0" w:space="0" w:color="auto"/>
      </w:divBdr>
    </w:div>
    <w:div w:id="212418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60B3F-B4B6-40F6-B4D8-F0A762121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2662</Characters>
  <Application>Microsoft Office Word</Application>
  <DocSecurity>4</DocSecurity>
  <Lines>22</Lines>
  <Paragraphs>6</Paragraphs>
  <ScaleCrop>false</ScaleCrop>
  <Company>MC SYSTEM</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2017-06-01T07:57:00Z</cp:lastPrinted>
  <dcterms:created xsi:type="dcterms:W3CDTF">2025-07-29T16:01:00Z</dcterms:created>
  <dcterms:modified xsi:type="dcterms:W3CDTF">2025-07-29T16:01:00Z</dcterms:modified>
</cp:coreProperties>
</file>