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23E" w:rsidRDefault="00B507E3">
      <w:pPr>
        <w:pStyle w:val="CM5"/>
        <w:spacing w:line="360" w:lineRule="auto"/>
        <w:jc w:val="center"/>
        <w:rPr>
          <w:rFonts w:cs="宋体"/>
          <w:b/>
          <w:color w:val="000000"/>
        </w:rPr>
      </w:pPr>
      <w:r>
        <w:rPr>
          <w:rFonts w:cs="宋体" w:hint="eastAsia"/>
          <w:b/>
          <w:color w:val="000000"/>
        </w:rPr>
        <w:t>中银基金管理有限公司</w:t>
      </w:r>
      <w:r>
        <w:rPr>
          <w:rFonts w:cs="宋体"/>
          <w:b/>
          <w:color w:val="000000"/>
        </w:rPr>
        <w:t>关于旗下部分基金开通转换业务的公告</w:t>
      </w:r>
    </w:p>
    <w:p w:rsidR="00CC523E" w:rsidRDefault="00CC523E">
      <w:pPr>
        <w:pStyle w:val="CM5"/>
        <w:spacing w:line="360" w:lineRule="auto"/>
        <w:ind w:firstLineChars="200" w:firstLine="482"/>
        <w:jc w:val="center"/>
        <w:rPr>
          <w:rFonts w:cs="宋体"/>
          <w:b/>
          <w:color w:val="000000"/>
        </w:rPr>
      </w:pPr>
    </w:p>
    <w:p w:rsidR="00CC523E" w:rsidRDefault="00B507E3">
      <w:pPr>
        <w:pStyle w:val="CM5"/>
        <w:spacing w:line="360" w:lineRule="auto"/>
        <w:ind w:firstLine="420"/>
      </w:pPr>
      <w:r>
        <w:rPr>
          <w:rFonts w:cs="宋体"/>
          <w:sz w:val="21"/>
          <w:szCs w:val="21"/>
        </w:rPr>
        <w:t>根据中银基金管理有限公司</w:t>
      </w:r>
      <w:r>
        <w:rPr>
          <w:rFonts w:cs="宋体"/>
          <w:sz w:val="21"/>
          <w:szCs w:val="21"/>
        </w:rPr>
        <w:t>(</w:t>
      </w:r>
      <w:r>
        <w:rPr>
          <w:rFonts w:cs="宋体"/>
          <w:sz w:val="21"/>
          <w:szCs w:val="21"/>
        </w:rPr>
        <w:t>以下简称</w:t>
      </w:r>
      <w:r>
        <w:rPr>
          <w:rFonts w:cs="宋体"/>
          <w:sz w:val="21"/>
          <w:szCs w:val="21"/>
        </w:rPr>
        <w:t>“</w:t>
      </w:r>
      <w:r>
        <w:rPr>
          <w:rFonts w:cs="宋体"/>
          <w:sz w:val="21"/>
          <w:szCs w:val="21"/>
        </w:rPr>
        <w:t>本公司</w:t>
      </w:r>
      <w:r>
        <w:rPr>
          <w:rFonts w:cs="宋体"/>
          <w:sz w:val="21"/>
          <w:szCs w:val="21"/>
        </w:rPr>
        <w:t>”</w:t>
      </w:r>
      <w:r>
        <w:rPr>
          <w:rFonts w:cs="宋体"/>
          <w:sz w:val="21"/>
          <w:szCs w:val="21"/>
        </w:rPr>
        <w:t>)</w:t>
      </w:r>
      <w:r>
        <w:rPr>
          <w:rFonts w:cs="宋体"/>
          <w:sz w:val="21"/>
          <w:szCs w:val="21"/>
        </w:rPr>
        <w:t>与平安银行股份有限公司签署的基金销售协议及相关补充协议，上述机构自</w:t>
      </w:r>
      <w:r>
        <w:rPr>
          <w:rFonts w:cs="宋体"/>
          <w:sz w:val="21"/>
          <w:szCs w:val="21"/>
        </w:rPr>
        <w:t>2025</w:t>
      </w:r>
      <w:r>
        <w:rPr>
          <w:rFonts w:cs="宋体"/>
          <w:sz w:val="21"/>
          <w:szCs w:val="21"/>
        </w:rPr>
        <w:t>年</w:t>
      </w:r>
      <w:r>
        <w:rPr>
          <w:rFonts w:cs="宋体"/>
          <w:sz w:val="21"/>
          <w:szCs w:val="21"/>
        </w:rPr>
        <w:t>7</w:t>
      </w:r>
      <w:r>
        <w:rPr>
          <w:rFonts w:cs="宋体"/>
          <w:sz w:val="21"/>
          <w:szCs w:val="21"/>
        </w:rPr>
        <w:t>月</w:t>
      </w:r>
      <w:r>
        <w:rPr>
          <w:rFonts w:cs="宋体"/>
          <w:sz w:val="21"/>
          <w:szCs w:val="21"/>
        </w:rPr>
        <w:t>28</w:t>
      </w:r>
      <w:r>
        <w:rPr>
          <w:rFonts w:cs="宋体"/>
          <w:sz w:val="21"/>
          <w:szCs w:val="21"/>
        </w:rPr>
        <w:t>日起正式办理本公司旗下部分基金的转换业务。现将具体有关事项公告如下：</w:t>
      </w:r>
    </w:p>
    <w:p w:rsidR="00CC523E" w:rsidRDefault="00B507E3">
      <w:pPr>
        <w:pStyle w:val="CM6"/>
        <w:numPr>
          <w:ilvl w:val="0"/>
          <w:numId w:val="1"/>
        </w:numPr>
        <w:tabs>
          <w:tab w:val="left" w:pos="851"/>
        </w:tabs>
        <w:spacing w:line="360" w:lineRule="auto"/>
        <w:rPr>
          <w:rFonts w:cs="宋体"/>
          <w:b/>
          <w:color w:val="000000"/>
          <w:sz w:val="21"/>
          <w:szCs w:val="21"/>
        </w:rPr>
      </w:pPr>
      <w:r>
        <w:rPr>
          <w:rFonts w:cs="宋体" w:hint="eastAsia"/>
          <w:b/>
          <w:color w:val="000000"/>
          <w:sz w:val="21"/>
          <w:szCs w:val="21"/>
        </w:rPr>
        <w:t>适用基金</w:t>
      </w:r>
    </w:p>
    <w:tbl>
      <w:tblPr>
        <w:tblW w:w="8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6"/>
        <w:gridCol w:w="6379"/>
      </w:tblGrid>
      <w:tr w:rsidR="00CC523E">
        <w:trPr>
          <w:trHeight w:val="280"/>
          <w:jc w:val="center"/>
        </w:trPr>
        <w:tc>
          <w:tcPr>
            <w:tcW w:w="1816" w:type="dxa"/>
            <w:shd w:val="clear" w:color="000000" w:fill="FFFFFF"/>
            <w:noWrap/>
            <w:vAlign w:val="center"/>
          </w:tcPr>
          <w:p w:rsidR="00CC523E" w:rsidRDefault="00B507E3">
            <w:pPr>
              <w:widowControl/>
              <w:jc w:val="center"/>
              <w:rPr>
                <w:rFonts w:ascii="宋体" w:cs="宋体"/>
                <w:kern w:val="0"/>
                <w:sz w:val="20"/>
                <w:szCs w:val="20"/>
              </w:rPr>
            </w:pPr>
            <w:r>
              <w:rPr>
                <w:rFonts w:ascii="宋体" w:cs="宋体" w:hint="eastAsia"/>
                <w:kern w:val="0"/>
                <w:sz w:val="20"/>
                <w:szCs w:val="20"/>
              </w:rPr>
              <w:t>基金代码</w:t>
            </w:r>
          </w:p>
        </w:tc>
        <w:tc>
          <w:tcPr>
            <w:tcW w:w="6379" w:type="dxa"/>
            <w:shd w:val="clear" w:color="000000" w:fill="FFFFFF"/>
            <w:noWrap/>
            <w:vAlign w:val="center"/>
          </w:tcPr>
          <w:p w:rsidR="00CC523E" w:rsidRDefault="00B507E3">
            <w:pPr>
              <w:widowControl/>
              <w:jc w:val="center"/>
              <w:rPr>
                <w:rFonts w:ascii="宋体" w:cs="宋体"/>
                <w:kern w:val="0"/>
                <w:sz w:val="20"/>
                <w:szCs w:val="20"/>
              </w:rPr>
            </w:pPr>
            <w:r>
              <w:rPr>
                <w:rFonts w:ascii="宋体" w:cs="宋体" w:hint="eastAsia"/>
                <w:kern w:val="0"/>
                <w:sz w:val="20"/>
                <w:szCs w:val="20"/>
              </w:rPr>
              <w:t>基金全称</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000057</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中银消费主题混合型证券投资基金</w:t>
            </w:r>
            <w:r>
              <w:rPr>
                <w:rFonts w:hint="eastAsia"/>
                <w:color w:val="000000"/>
                <w:sz w:val="22"/>
              </w:rPr>
              <w:t>A</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000120</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中银美丽中国混合型证券投资基金</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000190</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中银新回报灵活配置混合型证券投资基金</w:t>
            </w:r>
            <w:r>
              <w:rPr>
                <w:rFonts w:hint="eastAsia"/>
                <w:color w:val="000000"/>
                <w:sz w:val="22"/>
              </w:rPr>
              <w:t>A</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000305</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中银中高等级债券型证券投资基金</w:t>
            </w:r>
            <w:r>
              <w:rPr>
                <w:rFonts w:hint="eastAsia"/>
                <w:color w:val="000000"/>
                <w:sz w:val="22"/>
              </w:rPr>
              <w:t>A</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000432</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中银优秀企业混合型证券投资基金</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004548</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中银中高等级债券型证券投资基金</w:t>
            </w:r>
            <w:r>
              <w:rPr>
                <w:rFonts w:hint="eastAsia"/>
                <w:color w:val="000000"/>
                <w:sz w:val="22"/>
              </w:rPr>
              <w:t>C</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005852</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中银稳健添利债券型发起式证券投资基金</w:t>
            </w:r>
            <w:r>
              <w:rPr>
                <w:rFonts w:hint="eastAsia"/>
                <w:color w:val="000000"/>
                <w:sz w:val="22"/>
              </w:rPr>
              <w:t>C</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007100</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中银稳健添利债券型发起式证券投资基金</w:t>
            </w:r>
            <w:r>
              <w:rPr>
                <w:rFonts w:hint="eastAsia"/>
                <w:color w:val="000000"/>
                <w:sz w:val="22"/>
              </w:rPr>
              <w:t>E</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008936</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中银产业债债券型证券投资基金</w:t>
            </w:r>
            <w:r>
              <w:rPr>
                <w:rFonts w:hint="eastAsia"/>
                <w:color w:val="000000"/>
                <w:sz w:val="22"/>
              </w:rPr>
              <w:t>C</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010083</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中银欣享利率债债券型证券投资基金</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010871</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中银信用增利债券型证券投资基金（</w:t>
            </w:r>
            <w:r>
              <w:rPr>
                <w:rFonts w:hint="eastAsia"/>
                <w:color w:val="000000"/>
                <w:sz w:val="22"/>
              </w:rPr>
              <w:t>LOF</w:t>
            </w:r>
            <w:r>
              <w:rPr>
                <w:rFonts w:hint="eastAsia"/>
                <w:color w:val="000000"/>
                <w:sz w:val="22"/>
              </w:rPr>
              <w:t>）</w:t>
            </w:r>
            <w:r>
              <w:rPr>
                <w:rFonts w:hint="eastAsia"/>
                <w:color w:val="000000"/>
                <w:sz w:val="22"/>
              </w:rPr>
              <w:t>C</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012236</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中银持续增长混合型证券投资基金</w:t>
            </w:r>
            <w:r>
              <w:rPr>
                <w:rFonts w:hint="eastAsia"/>
                <w:color w:val="000000"/>
                <w:sz w:val="22"/>
              </w:rPr>
              <w:t>C</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012631</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中银行业优选灵活配置混合型证券投资基金</w:t>
            </w:r>
            <w:r>
              <w:rPr>
                <w:rFonts w:hint="eastAsia"/>
                <w:color w:val="000000"/>
                <w:sz w:val="22"/>
              </w:rPr>
              <w:t>C</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014505</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中银收益混合型证券投资基金</w:t>
            </w:r>
            <w:r>
              <w:rPr>
                <w:rFonts w:hint="eastAsia"/>
                <w:color w:val="000000"/>
                <w:sz w:val="22"/>
              </w:rPr>
              <w:t>C</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014537</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中银中国精选混合型开放式证券投资基金（</w:t>
            </w:r>
            <w:r>
              <w:rPr>
                <w:rFonts w:hint="eastAsia"/>
                <w:color w:val="000000"/>
                <w:sz w:val="22"/>
              </w:rPr>
              <w:t>LOF</w:t>
            </w:r>
            <w:r>
              <w:rPr>
                <w:rFonts w:hint="eastAsia"/>
                <w:color w:val="000000"/>
                <w:sz w:val="22"/>
              </w:rPr>
              <w:t>）</w:t>
            </w:r>
            <w:r>
              <w:rPr>
                <w:rFonts w:hint="eastAsia"/>
                <w:color w:val="000000"/>
                <w:sz w:val="22"/>
              </w:rPr>
              <w:t>C</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015365</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中银动态策略混合型证券投资基金</w:t>
            </w:r>
            <w:r>
              <w:rPr>
                <w:rFonts w:hint="eastAsia"/>
                <w:color w:val="000000"/>
                <w:sz w:val="22"/>
              </w:rPr>
              <w:t>C</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015386</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中银主题策略混合型证券投资基金</w:t>
            </w:r>
            <w:r>
              <w:rPr>
                <w:rFonts w:hint="eastAsia"/>
                <w:color w:val="000000"/>
                <w:sz w:val="22"/>
              </w:rPr>
              <w:t>C</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017005</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中银价值精选灵活配置混合型证券投资基金</w:t>
            </w:r>
            <w:r>
              <w:rPr>
                <w:rFonts w:hint="eastAsia"/>
                <w:color w:val="000000"/>
                <w:sz w:val="22"/>
              </w:rPr>
              <w:t>C</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019708</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中银消费主题混合型证券投资基金</w:t>
            </w:r>
            <w:r>
              <w:rPr>
                <w:rFonts w:hint="eastAsia"/>
                <w:color w:val="000000"/>
                <w:sz w:val="22"/>
              </w:rPr>
              <w:t>C</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163801</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中银中国精选混合型开放式证券投资基金（</w:t>
            </w:r>
            <w:r>
              <w:rPr>
                <w:rFonts w:hint="eastAsia"/>
                <w:color w:val="000000"/>
                <w:sz w:val="22"/>
              </w:rPr>
              <w:t>LOF</w:t>
            </w:r>
            <w:r>
              <w:rPr>
                <w:rFonts w:hint="eastAsia"/>
                <w:color w:val="000000"/>
                <w:sz w:val="22"/>
              </w:rPr>
              <w:t>）</w:t>
            </w:r>
            <w:r>
              <w:rPr>
                <w:rFonts w:hint="eastAsia"/>
                <w:color w:val="000000"/>
                <w:sz w:val="22"/>
              </w:rPr>
              <w:t>A</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163802</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中银货币市场证券投资基金</w:t>
            </w:r>
            <w:r>
              <w:rPr>
                <w:rFonts w:hint="eastAsia"/>
                <w:color w:val="000000"/>
                <w:sz w:val="22"/>
              </w:rPr>
              <w:t>A</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163803</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中银持续增长混合型证券投资基金</w:t>
            </w:r>
            <w:r>
              <w:rPr>
                <w:rFonts w:hint="eastAsia"/>
                <w:color w:val="000000"/>
                <w:sz w:val="22"/>
              </w:rPr>
              <w:t>A</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163804</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中银收益混合型证券投资基金</w:t>
            </w:r>
            <w:r>
              <w:rPr>
                <w:rFonts w:hint="eastAsia"/>
                <w:color w:val="000000"/>
                <w:sz w:val="22"/>
              </w:rPr>
              <w:t>A</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163805</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中银动态策略混合型证券投资基金</w:t>
            </w:r>
            <w:r>
              <w:rPr>
                <w:rFonts w:hint="eastAsia"/>
                <w:color w:val="000000"/>
                <w:sz w:val="22"/>
              </w:rPr>
              <w:t>A</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163806</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中银稳健增利债券型证券投资基金</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163807</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中银行业优选灵活配置混合型证券投资基金</w:t>
            </w:r>
            <w:r>
              <w:rPr>
                <w:rFonts w:hint="eastAsia"/>
                <w:color w:val="000000"/>
                <w:sz w:val="22"/>
              </w:rPr>
              <w:t>A</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163808</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中银中证</w:t>
            </w:r>
            <w:r>
              <w:rPr>
                <w:rFonts w:hint="eastAsia"/>
                <w:color w:val="000000"/>
                <w:sz w:val="22"/>
              </w:rPr>
              <w:t>100</w:t>
            </w:r>
            <w:r>
              <w:rPr>
                <w:rFonts w:hint="eastAsia"/>
                <w:color w:val="000000"/>
                <w:sz w:val="22"/>
              </w:rPr>
              <w:t>指数增强型证券投资基金</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lastRenderedPageBreak/>
              <w:t>163809</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中银蓝筹精选灵活配置混合型证券投资基金</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163810</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中银价值精选灵活配置混合型证券投资基金</w:t>
            </w:r>
            <w:r>
              <w:rPr>
                <w:rFonts w:hint="eastAsia"/>
                <w:color w:val="000000"/>
                <w:sz w:val="22"/>
              </w:rPr>
              <w:t>A</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163811</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中银稳健双利债券型证券投资基金</w:t>
            </w:r>
            <w:r>
              <w:rPr>
                <w:rFonts w:hint="eastAsia"/>
                <w:color w:val="000000"/>
                <w:sz w:val="22"/>
              </w:rPr>
              <w:t>A</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163812</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中银稳健双利债券型证券投资基金</w:t>
            </w:r>
            <w:r>
              <w:rPr>
                <w:rFonts w:hint="eastAsia"/>
                <w:color w:val="000000"/>
                <w:sz w:val="22"/>
              </w:rPr>
              <w:t>B</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163816</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中银转债增强债券型证券投资基金</w:t>
            </w:r>
            <w:r>
              <w:rPr>
                <w:rFonts w:hint="eastAsia"/>
                <w:color w:val="000000"/>
                <w:sz w:val="22"/>
              </w:rPr>
              <w:t>A</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163817</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中银转债增强债券型证券投资基金</w:t>
            </w:r>
            <w:r>
              <w:rPr>
                <w:rFonts w:hint="eastAsia"/>
                <w:color w:val="000000"/>
                <w:sz w:val="22"/>
              </w:rPr>
              <w:t>B</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163818</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中银中小盘成长混合型证券投资基金</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163819</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中银信用增利债券型证券投资基金（</w:t>
            </w:r>
            <w:r>
              <w:rPr>
                <w:rFonts w:hint="eastAsia"/>
                <w:color w:val="000000"/>
                <w:sz w:val="22"/>
              </w:rPr>
              <w:t>LOF</w:t>
            </w:r>
            <w:r>
              <w:rPr>
                <w:rFonts w:hint="eastAsia"/>
                <w:color w:val="000000"/>
                <w:sz w:val="22"/>
              </w:rPr>
              <w:t>）</w:t>
            </w:r>
            <w:r>
              <w:rPr>
                <w:rFonts w:hint="eastAsia"/>
                <w:color w:val="000000"/>
                <w:sz w:val="22"/>
              </w:rPr>
              <w:t>A</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163820</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中银货币市场证券投资基金</w:t>
            </w:r>
            <w:r>
              <w:rPr>
                <w:rFonts w:hint="eastAsia"/>
                <w:color w:val="000000"/>
                <w:sz w:val="22"/>
              </w:rPr>
              <w:t>B</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163822</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中银主题策略混合型证券投资基金</w:t>
            </w:r>
            <w:r>
              <w:rPr>
                <w:rFonts w:hint="eastAsia"/>
                <w:color w:val="000000"/>
                <w:sz w:val="22"/>
              </w:rPr>
              <w:t>A</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163823</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中银稳健策略灵活配置混合型证券投资基金</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163827</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中银产业债债券型证券投资基金</w:t>
            </w:r>
            <w:r>
              <w:rPr>
                <w:rFonts w:hint="eastAsia"/>
                <w:color w:val="000000"/>
                <w:sz w:val="22"/>
              </w:rPr>
              <w:t>A</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380005</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pPr>
            <w:r>
              <w:rPr>
                <w:rFonts w:hint="eastAsia"/>
                <w:color w:val="000000"/>
                <w:sz w:val="22"/>
              </w:rPr>
              <w:t>中银纯债债券型证券投资基金</w:t>
            </w:r>
            <w:r>
              <w:rPr>
                <w:rFonts w:hint="eastAsia"/>
                <w:color w:val="000000"/>
                <w:sz w:val="22"/>
              </w:rPr>
              <w:t>A</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rPr>
                <w:rFonts w:ascii="宋体" w:cs="宋体"/>
                <w:color w:val="000000"/>
                <w:position w:val="-1"/>
                <w:sz w:val="20"/>
              </w:rPr>
            </w:pPr>
            <w:r>
              <w:rPr>
                <w:rFonts w:hint="eastAsia"/>
                <w:color w:val="000000"/>
                <w:sz w:val="22"/>
              </w:rPr>
              <w:t>380006</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rPr>
                <w:rFonts w:ascii="宋体" w:cs="宋体"/>
                <w:color w:val="000000"/>
                <w:position w:val="-1"/>
                <w:sz w:val="20"/>
              </w:rPr>
            </w:pPr>
            <w:r>
              <w:rPr>
                <w:rFonts w:hint="eastAsia"/>
                <w:color w:val="000000"/>
                <w:sz w:val="22"/>
              </w:rPr>
              <w:t>中银纯债债券型证券投资基金</w:t>
            </w:r>
            <w:r>
              <w:rPr>
                <w:rFonts w:hint="eastAsia"/>
                <w:color w:val="000000"/>
                <w:sz w:val="22"/>
              </w:rPr>
              <w:t>C</w:t>
            </w:r>
            <w:r>
              <w:rPr>
                <w:rFonts w:hint="eastAsia"/>
                <w:color w:val="000000"/>
                <w:sz w:val="22"/>
              </w:rPr>
              <w:t>类</w:t>
            </w:r>
          </w:p>
        </w:tc>
      </w:tr>
      <w:tr w:rsidR="00CC523E">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CC523E" w:rsidRDefault="00B507E3">
            <w:pPr>
              <w:jc w:val="left"/>
              <w:rPr>
                <w:rFonts w:ascii="宋体" w:cs="宋体"/>
                <w:color w:val="000000"/>
                <w:position w:val="-1"/>
                <w:sz w:val="20"/>
              </w:rPr>
            </w:pPr>
            <w:r>
              <w:rPr>
                <w:rFonts w:hint="eastAsia"/>
                <w:color w:val="000000"/>
                <w:sz w:val="22"/>
              </w:rPr>
              <w:t>380009</w:t>
            </w:r>
          </w:p>
        </w:tc>
        <w:tc>
          <w:tcPr>
            <w:tcW w:w="6379" w:type="dxa"/>
            <w:tcBorders>
              <w:top w:val="single" w:sz="4" w:space="0" w:color="auto"/>
              <w:left w:val="nil"/>
              <w:bottom w:val="single" w:sz="4" w:space="0" w:color="auto"/>
              <w:right w:val="single" w:sz="4" w:space="0" w:color="auto"/>
            </w:tcBorders>
            <w:shd w:val="clear" w:color="auto" w:fill="auto"/>
            <w:vAlign w:val="center"/>
          </w:tcPr>
          <w:p w:rsidR="00CC523E" w:rsidRDefault="00B507E3">
            <w:pPr>
              <w:jc w:val="left"/>
              <w:rPr>
                <w:rFonts w:ascii="宋体" w:cs="宋体"/>
                <w:color w:val="000000"/>
                <w:position w:val="-1"/>
                <w:sz w:val="20"/>
              </w:rPr>
            </w:pPr>
            <w:r>
              <w:rPr>
                <w:rFonts w:hint="eastAsia"/>
                <w:color w:val="000000"/>
                <w:sz w:val="22"/>
              </w:rPr>
              <w:t>中银稳健添利债券型发起式证券投资基金</w:t>
            </w:r>
            <w:r>
              <w:rPr>
                <w:rFonts w:hint="eastAsia"/>
                <w:color w:val="000000"/>
                <w:sz w:val="22"/>
              </w:rPr>
              <w:t>A</w:t>
            </w:r>
            <w:r>
              <w:rPr>
                <w:rFonts w:hint="eastAsia"/>
                <w:color w:val="000000"/>
                <w:sz w:val="22"/>
              </w:rPr>
              <w:t>类</w:t>
            </w:r>
          </w:p>
        </w:tc>
      </w:tr>
    </w:tbl>
    <w:p w:rsidR="00CC523E" w:rsidRDefault="00CC523E">
      <w:pPr>
        <w:rPr>
          <w:rFonts w:ascii="宋体"/>
          <w:szCs w:val="21"/>
        </w:rPr>
      </w:pPr>
    </w:p>
    <w:p w:rsidR="00CC523E" w:rsidRDefault="00B507E3">
      <w:pPr>
        <w:pStyle w:val="aa"/>
        <w:tabs>
          <w:tab w:val="left" w:pos="851"/>
        </w:tabs>
        <w:spacing w:line="360" w:lineRule="auto"/>
        <w:ind w:firstLine="422"/>
        <w:rPr>
          <w:rFonts w:ascii="宋体" w:cs="宋体"/>
          <w:b/>
          <w:color w:val="000000"/>
          <w:szCs w:val="21"/>
        </w:rPr>
      </w:pPr>
      <w:r>
        <w:rPr>
          <w:rFonts w:ascii="宋体" w:cs="宋体" w:hint="eastAsia"/>
          <w:b/>
          <w:color w:val="000000"/>
          <w:szCs w:val="21"/>
        </w:rPr>
        <w:t xml:space="preserve">    </w:t>
      </w:r>
      <w:r>
        <w:rPr>
          <w:rFonts w:ascii="宋体" w:cs="宋体" w:hint="eastAsia"/>
          <w:b/>
          <w:color w:val="000000"/>
          <w:szCs w:val="21"/>
        </w:rPr>
        <w:t>二、转</w:t>
      </w:r>
      <w:r>
        <w:rPr>
          <w:rFonts w:ascii="宋体" w:cs="宋体"/>
          <w:b/>
          <w:color w:val="000000"/>
          <w:szCs w:val="21"/>
        </w:rPr>
        <w:t>换</w:t>
      </w:r>
      <w:r>
        <w:rPr>
          <w:rFonts w:ascii="宋体" w:cs="宋体" w:hint="eastAsia"/>
          <w:b/>
          <w:color w:val="000000"/>
          <w:szCs w:val="21"/>
        </w:rPr>
        <w:t>业务相关的事项</w:t>
      </w:r>
    </w:p>
    <w:p w:rsidR="00CC523E" w:rsidRDefault="00B507E3">
      <w:pPr>
        <w:pStyle w:val="aa"/>
        <w:tabs>
          <w:tab w:val="left" w:pos="851"/>
        </w:tabs>
        <w:spacing w:line="360" w:lineRule="auto"/>
        <w:ind w:firstLine="420"/>
        <w:rPr>
          <w:rFonts w:ascii="宋体" w:cs="宋体"/>
          <w:color w:val="000000"/>
          <w:szCs w:val="21"/>
        </w:rPr>
      </w:pPr>
      <w:r>
        <w:rPr>
          <w:rFonts w:ascii="宋体" w:cs="宋体"/>
          <w:color w:val="000000"/>
          <w:szCs w:val="21"/>
        </w:rPr>
        <w:t>1</w:t>
      </w:r>
      <w:r>
        <w:rPr>
          <w:rFonts w:ascii="宋体" w:cs="宋体" w:hint="eastAsia"/>
          <w:color w:val="000000"/>
          <w:szCs w:val="21"/>
        </w:rPr>
        <w:t>、转换费率</w:t>
      </w:r>
    </w:p>
    <w:p w:rsidR="00CC523E" w:rsidRDefault="00B507E3">
      <w:pPr>
        <w:pStyle w:val="CM1"/>
        <w:spacing w:line="360" w:lineRule="auto"/>
        <w:ind w:firstLineChars="200" w:firstLine="420"/>
        <w:rPr>
          <w:szCs w:val="21"/>
        </w:rPr>
      </w:pPr>
      <w:r>
        <w:rPr>
          <w:rFonts w:hint="eastAsia"/>
          <w:sz w:val="21"/>
          <w:szCs w:val="21"/>
        </w:rPr>
        <w:t>基金转换费用由转出基金的赎回费用加上转出与转入基金申购费用的补差两部分构成，具体收取情况视每次转换时两只基金的申购费差异情况和转出基金的赎回费而定。基金转换费用由基金份额持有人承担。</w:t>
      </w:r>
    </w:p>
    <w:p w:rsidR="00CC523E" w:rsidRDefault="00B507E3">
      <w:pPr>
        <w:pStyle w:val="CM1"/>
        <w:spacing w:line="360" w:lineRule="auto"/>
        <w:ind w:firstLineChars="200" w:firstLine="420"/>
        <w:rPr>
          <w:szCs w:val="21"/>
        </w:rPr>
      </w:pPr>
      <w:r>
        <w:rPr>
          <w:rFonts w:hint="eastAsia"/>
          <w:sz w:val="21"/>
          <w:szCs w:val="21"/>
        </w:rPr>
        <w:t>（</w:t>
      </w:r>
      <w:r>
        <w:rPr>
          <w:rFonts w:hint="eastAsia"/>
          <w:sz w:val="21"/>
          <w:szCs w:val="21"/>
        </w:rPr>
        <w:t>1</w:t>
      </w:r>
      <w:r>
        <w:rPr>
          <w:rFonts w:hint="eastAsia"/>
          <w:sz w:val="21"/>
          <w:szCs w:val="21"/>
        </w:rPr>
        <w:t>）基金转换申购补差费：按照转入基金与转出基金的申购费的差额收取补差费。当转出基金申购费低于转入基金的申购费时，补差费为转入基金的申购费和转出基金的申购费差额；当转出基金申购费高于转入基金的申购费时，补差费为零。</w:t>
      </w:r>
    </w:p>
    <w:p w:rsidR="00CC523E" w:rsidRDefault="00B507E3">
      <w:pPr>
        <w:pStyle w:val="CM1"/>
        <w:spacing w:line="360" w:lineRule="auto"/>
        <w:ind w:firstLineChars="200" w:firstLine="420"/>
        <w:rPr>
          <w:szCs w:val="21"/>
        </w:rPr>
      </w:pPr>
      <w:r>
        <w:rPr>
          <w:rFonts w:hint="eastAsia"/>
          <w:sz w:val="21"/>
          <w:szCs w:val="21"/>
        </w:rPr>
        <w:t>（</w:t>
      </w:r>
      <w:r>
        <w:rPr>
          <w:rFonts w:hint="eastAsia"/>
          <w:sz w:val="21"/>
          <w:szCs w:val="21"/>
        </w:rPr>
        <w:t>2</w:t>
      </w:r>
      <w:r>
        <w:rPr>
          <w:rFonts w:hint="eastAsia"/>
          <w:sz w:val="21"/>
          <w:szCs w:val="21"/>
        </w:rPr>
        <w:t>）</w:t>
      </w:r>
      <w:r>
        <w:rPr>
          <w:rFonts w:hint="eastAsia"/>
          <w:sz w:val="21"/>
          <w:szCs w:val="21"/>
        </w:rPr>
        <w:t>转出基金赎回费：按转出基金正常赎回时的赎回费率收取费用。</w:t>
      </w:r>
    </w:p>
    <w:p w:rsidR="00CC523E" w:rsidRDefault="00B507E3">
      <w:pPr>
        <w:pStyle w:val="CM1"/>
        <w:spacing w:line="360" w:lineRule="auto"/>
        <w:ind w:firstLineChars="200" w:firstLine="420"/>
        <w:rPr>
          <w:szCs w:val="21"/>
        </w:rPr>
      </w:pPr>
      <w:r>
        <w:rPr>
          <w:rFonts w:hint="eastAsia"/>
          <w:sz w:val="21"/>
          <w:szCs w:val="21"/>
        </w:rPr>
        <w:t>2</w:t>
      </w:r>
      <w:r>
        <w:rPr>
          <w:rFonts w:hint="eastAsia"/>
          <w:sz w:val="21"/>
          <w:szCs w:val="21"/>
        </w:rPr>
        <w:t>、基金转换的计算公式</w:t>
      </w:r>
    </w:p>
    <w:p w:rsidR="00CC523E" w:rsidRDefault="00B507E3">
      <w:pPr>
        <w:spacing w:line="360" w:lineRule="auto"/>
        <w:ind w:firstLineChars="202" w:firstLine="424"/>
        <w:rPr>
          <w:rFonts w:ascii="宋体" w:cs="Times New Roman"/>
        </w:rPr>
      </w:pPr>
      <w:r>
        <w:rPr>
          <w:rFonts w:ascii="宋体" w:cs="Times New Roman"/>
        </w:rPr>
        <w:t>A=[B</w:t>
      </w:r>
      <w:r>
        <w:rPr>
          <w:rFonts w:ascii="宋体" w:cs="Times New Roman"/>
        </w:rPr>
        <w:t>×</w:t>
      </w:r>
      <w:r>
        <w:rPr>
          <w:rFonts w:ascii="宋体" w:cs="Times New Roman"/>
        </w:rPr>
        <w:t>C</w:t>
      </w:r>
      <w:r>
        <w:rPr>
          <w:rFonts w:ascii="宋体" w:cs="Times New Roman"/>
        </w:rPr>
        <w:t>×</w:t>
      </w:r>
      <w:r>
        <w:rPr>
          <w:rFonts w:ascii="宋体" w:cs="Times New Roman"/>
        </w:rPr>
        <w:t>(1-D)/(1+H)+G]/E</w:t>
      </w:r>
    </w:p>
    <w:p w:rsidR="00CC523E" w:rsidRDefault="00B507E3">
      <w:pPr>
        <w:spacing w:line="360" w:lineRule="auto"/>
        <w:ind w:firstLineChars="202" w:firstLine="424"/>
        <w:rPr>
          <w:rFonts w:ascii="宋体" w:cs="Times New Roman"/>
        </w:rPr>
      </w:pPr>
      <w:r>
        <w:rPr>
          <w:rFonts w:ascii="宋体" w:cs="Times New Roman"/>
        </w:rPr>
        <w:t>F=B</w:t>
      </w:r>
      <w:r>
        <w:rPr>
          <w:rFonts w:ascii="宋体" w:cs="Times New Roman"/>
        </w:rPr>
        <w:t>×</w:t>
      </w:r>
      <w:r>
        <w:rPr>
          <w:rFonts w:ascii="宋体" w:cs="Times New Roman"/>
        </w:rPr>
        <w:t>C</w:t>
      </w:r>
      <w:r>
        <w:rPr>
          <w:rFonts w:ascii="宋体" w:cs="Times New Roman"/>
        </w:rPr>
        <w:t>×</w:t>
      </w:r>
      <w:r>
        <w:rPr>
          <w:rFonts w:ascii="宋体" w:cs="Times New Roman"/>
        </w:rPr>
        <w:t>D</w:t>
      </w:r>
    </w:p>
    <w:p w:rsidR="00CC523E" w:rsidRDefault="00B507E3">
      <w:pPr>
        <w:spacing w:line="360" w:lineRule="auto"/>
        <w:ind w:firstLineChars="202" w:firstLine="424"/>
        <w:rPr>
          <w:rFonts w:ascii="宋体" w:cs="Times New Roman"/>
        </w:rPr>
      </w:pPr>
      <w:r>
        <w:rPr>
          <w:rFonts w:ascii="宋体" w:cs="Times New Roman"/>
        </w:rPr>
        <w:t>J=[B</w:t>
      </w:r>
      <w:r>
        <w:rPr>
          <w:rFonts w:ascii="宋体" w:cs="Times New Roman"/>
        </w:rPr>
        <w:t>×</w:t>
      </w:r>
      <w:r>
        <w:rPr>
          <w:rFonts w:ascii="宋体" w:cs="Times New Roman"/>
        </w:rPr>
        <w:t>C</w:t>
      </w:r>
      <w:r>
        <w:rPr>
          <w:rFonts w:ascii="宋体" w:cs="Times New Roman"/>
        </w:rPr>
        <w:t>×</w:t>
      </w:r>
      <w:r>
        <w:rPr>
          <w:rFonts w:ascii="宋体" w:cs="Times New Roman"/>
        </w:rPr>
        <w:t>(1-D)/(1+H)]</w:t>
      </w:r>
      <w:r>
        <w:rPr>
          <w:rFonts w:ascii="宋体" w:cs="Times New Roman"/>
        </w:rPr>
        <w:t>×</w:t>
      </w:r>
      <w:r>
        <w:rPr>
          <w:rFonts w:ascii="宋体" w:cs="Times New Roman"/>
        </w:rPr>
        <w:t>H</w:t>
      </w:r>
    </w:p>
    <w:p w:rsidR="00CC523E" w:rsidRDefault="00B507E3">
      <w:pPr>
        <w:spacing w:line="360" w:lineRule="auto"/>
        <w:ind w:left="420" w:firstLineChars="1" w:firstLine="2"/>
        <w:rPr>
          <w:rFonts w:ascii="宋体" w:cs="Times New Roman"/>
        </w:rPr>
      </w:pPr>
      <w:r>
        <w:rPr>
          <w:rFonts w:ascii="宋体" w:cs="Times New Roman" w:hint="eastAsia"/>
        </w:rPr>
        <w:t>其中：</w:t>
      </w:r>
      <w:r>
        <w:rPr>
          <w:rFonts w:ascii="宋体" w:cs="Times New Roman"/>
        </w:rPr>
        <w:cr/>
        <w:t>A</w:t>
      </w:r>
      <w:r>
        <w:rPr>
          <w:rFonts w:ascii="宋体" w:cs="Times New Roman" w:hint="eastAsia"/>
        </w:rPr>
        <w:t>为转入的基金份额数量；</w:t>
      </w:r>
    </w:p>
    <w:p w:rsidR="00CC523E" w:rsidRDefault="00B507E3">
      <w:pPr>
        <w:spacing w:line="360" w:lineRule="auto"/>
        <w:ind w:firstLineChars="202" w:firstLine="424"/>
        <w:rPr>
          <w:rFonts w:ascii="宋体" w:cs="Times New Roman"/>
        </w:rPr>
      </w:pPr>
      <w:r>
        <w:rPr>
          <w:rFonts w:ascii="宋体" w:cs="Times New Roman"/>
        </w:rPr>
        <w:t>B</w:t>
      </w:r>
      <w:r>
        <w:rPr>
          <w:rFonts w:ascii="宋体" w:cs="Times New Roman" w:hint="eastAsia"/>
        </w:rPr>
        <w:t>为转出的基金份额数量；</w:t>
      </w:r>
    </w:p>
    <w:p w:rsidR="00CC523E" w:rsidRDefault="00B507E3">
      <w:pPr>
        <w:spacing w:line="360" w:lineRule="auto"/>
        <w:ind w:firstLineChars="202" w:firstLine="424"/>
        <w:rPr>
          <w:rFonts w:ascii="宋体" w:cs="Times New Roman"/>
        </w:rPr>
      </w:pPr>
      <w:r>
        <w:rPr>
          <w:rFonts w:ascii="宋体" w:cs="Times New Roman"/>
        </w:rPr>
        <w:lastRenderedPageBreak/>
        <w:t>C</w:t>
      </w:r>
      <w:r>
        <w:rPr>
          <w:rFonts w:ascii="宋体" w:cs="Times New Roman" w:hint="eastAsia"/>
        </w:rPr>
        <w:t>为转换当日转出基金份额净值；</w:t>
      </w:r>
    </w:p>
    <w:p w:rsidR="00CC523E" w:rsidRDefault="00B507E3">
      <w:pPr>
        <w:spacing w:line="360" w:lineRule="auto"/>
        <w:ind w:firstLineChars="202" w:firstLine="424"/>
        <w:rPr>
          <w:rFonts w:ascii="宋体" w:cs="Times New Roman"/>
        </w:rPr>
      </w:pPr>
      <w:r>
        <w:rPr>
          <w:rFonts w:ascii="宋体" w:cs="Times New Roman"/>
        </w:rPr>
        <w:t>D</w:t>
      </w:r>
      <w:r>
        <w:rPr>
          <w:rFonts w:ascii="宋体" w:cs="Times New Roman" w:hint="eastAsia"/>
        </w:rPr>
        <w:t>为转出基金份额的赎回费率；</w:t>
      </w:r>
    </w:p>
    <w:p w:rsidR="00CC523E" w:rsidRDefault="00B507E3">
      <w:pPr>
        <w:spacing w:line="360" w:lineRule="auto"/>
        <w:ind w:firstLineChars="202" w:firstLine="424"/>
        <w:rPr>
          <w:rFonts w:ascii="宋体" w:cs="Times New Roman"/>
        </w:rPr>
      </w:pPr>
      <w:r>
        <w:rPr>
          <w:rFonts w:ascii="宋体" w:cs="Times New Roman"/>
        </w:rPr>
        <w:t>E</w:t>
      </w:r>
      <w:r>
        <w:rPr>
          <w:rFonts w:ascii="宋体" w:cs="Times New Roman" w:hint="eastAsia"/>
        </w:rPr>
        <w:t>为转换当日转入基金份额净值；</w:t>
      </w:r>
    </w:p>
    <w:p w:rsidR="00CC523E" w:rsidRDefault="00B507E3">
      <w:pPr>
        <w:spacing w:line="360" w:lineRule="auto"/>
        <w:ind w:firstLineChars="202" w:firstLine="424"/>
        <w:rPr>
          <w:rFonts w:ascii="宋体" w:cs="Times New Roman"/>
        </w:rPr>
      </w:pPr>
      <w:r>
        <w:rPr>
          <w:rFonts w:ascii="宋体" w:cs="Times New Roman"/>
        </w:rPr>
        <w:t>F</w:t>
      </w:r>
      <w:r>
        <w:rPr>
          <w:rFonts w:ascii="宋体" w:cs="Times New Roman" w:hint="eastAsia"/>
        </w:rPr>
        <w:t>为转出基金份额的赎回费；</w:t>
      </w:r>
    </w:p>
    <w:p w:rsidR="00CC523E" w:rsidRDefault="00B507E3">
      <w:pPr>
        <w:spacing w:line="360" w:lineRule="auto"/>
        <w:ind w:left="420" w:firstLineChars="1" w:firstLine="2"/>
        <w:rPr>
          <w:rFonts w:ascii="宋体" w:cs="Times New Roman"/>
        </w:rPr>
      </w:pPr>
      <w:r>
        <w:rPr>
          <w:rFonts w:ascii="宋体" w:cs="Times New Roman"/>
        </w:rPr>
        <w:t>G</w:t>
      </w:r>
      <w:r>
        <w:rPr>
          <w:rFonts w:ascii="宋体" w:cs="Times New Roman" w:hint="eastAsia"/>
        </w:rPr>
        <w:t>为转出基金份额对应的未支付收益，若转出基金为</w:t>
      </w:r>
      <w:r>
        <w:rPr>
          <w:rFonts w:ascii="宋体" w:hint="eastAsia"/>
        </w:rPr>
        <w:t>非货币市场基金</w:t>
      </w:r>
      <w:r>
        <w:rPr>
          <w:rFonts w:ascii="宋体" w:cs="Times New Roman" w:hint="eastAsia"/>
        </w:rPr>
        <w:t>，则</w:t>
      </w:r>
      <w:r>
        <w:rPr>
          <w:rFonts w:ascii="宋体" w:cs="Times New Roman"/>
        </w:rPr>
        <w:t>G</w:t>
      </w:r>
      <w:r>
        <w:rPr>
          <w:rFonts w:ascii="宋体" w:cs="Times New Roman" w:hint="eastAsia"/>
        </w:rPr>
        <w:t>＝</w:t>
      </w:r>
      <w:r>
        <w:rPr>
          <w:rFonts w:ascii="宋体" w:cs="Times New Roman"/>
        </w:rPr>
        <w:t>0</w:t>
      </w:r>
      <w:r>
        <w:rPr>
          <w:rFonts w:ascii="宋体" w:cs="Times New Roman" w:hint="eastAsia"/>
        </w:rPr>
        <w:t>；</w:t>
      </w:r>
    </w:p>
    <w:p w:rsidR="00CC523E" w:rsidRDefault="00B507E3">
      <w:pPr>
        <w:spacing w:line="360" w:lineRule="auto"/>
        <w:ind w:left="420" w:firstLineChars="1" w:firstLine="2"/>
        <w:rPr>
          <w:rFonts w:ascii="宋体" w:cs="Times New Roman"/>
        </w:rPr>
      </w:pPr>
      <w:r>
        <w:rPr>
          <w:rFonts w:ascii="宋体" w:cs="Times New Roman"/>
        </w:rPr>
        <w:t>H</w:t>
      </w:r>
      <w:r>
        <w:rPr>
          <w:rFonts w:ascii="宋体" w:cs="Times New Roman" w:hint="eastAsia"/>
        </w:rPr>
        <w:t>为申购补差费率，当转出基金净金额所对应的申购费率≥转入基金的申购费率时，则</w:t>
      </w:r>
      <w:r>
        <w:rPr>
          <w:rFonts w:ascii="宋体" w:cs="Times New Roman"/>
        </w:rPr>
        <w:t>H=0</w:t>
      </w:r>
      <w:r>
        <w:rPr>
          <w:rFonts w:ascii="宋体" w:cs="Times New Roman" w:hint="eastAsia"/>
        </w:rPr>
        <w:t>；</w:t>
      </w:r>
    </w:p>
    <w:p w:rsidR="00CC523E" w:rsidRDefault="00B507E3">
      <w:pPr>
        <w:spacing w:line="360" w:lineRule="auto"/>
        <w:ind w:left="420" w:firstLineChars="1" w:firstLine="2"/>
        <w:rPr>
          <w:rFonts w:ascii="宋体" w:cs="Times New Roman"/>
        </w:rPr>
      </w:pPr>
      <w:r>
        <w:rPr>
          <w:rFonts w:ascii="宋体" w:cs="Times New Roman"/>
        </w:rPr>
        <w:t>J</w:t>
      </w:r>
      <w:r>
        <w:rPr>
          <w:rFonts w:ascii="宋体" w:cs="Times New Roman" w:hint="eastAsia"/>
        </w:rPr>
        <w:t>为申购补差费。</w:t>
      </w:r>
    </w:p>
    <w:p w:rsidR="00CC523E" w:rsidRDefault="00B507E3">
      <w:pPr>
        <w:spacing w:line="360" w:lineRule="auto"/>
        <w:ind w:firstLine="420"/>
        <w:rPr>
          <w:rFonts w:ascii="宋体" w:cs="Times New Roman"/>
        </w:rPr>
      </w:pPr>
      <w:r>
        <w:rPr>
          <w:rFonts w:ascii="宋体" w:cs="Times New Roman" w:hint="eastAsia"/>
        </w:rPr>
        <w:t>赎回费按照转出基金招募说明书约定的比例归入转出基金资产，转出金额以四舍五入的方式保留至小数点后两位，由此产生的误差在转出基金的基金资产中列支；转入份额以四舍五入的方式保留至小数点后两位，由此产生的误差在转入基金的基金资产中列支。</w:t>
      </w:r>
    </w:p>
    <w:p w:rsidR="00CC523E" w:rsidRDefault="00B507E3">
      <w:pPr>
        <w:spacing w:line="360" w:lineRule="auto"/>
        <w:ind w:firstLine="420"/>
        <w:rPr>
          <w:rFonts w:ascii="宋体" w:cs="Times New Roman"/>
        </w:rPr>
      </w:pPr>
      <w:r>
        <w:rPr>
          <w:rFonts w:ascii="宋体" w:cs="Times New Roman" w:hint="eastAsia"/>
        </w:rPr>
        <w:t>基金转换只能在同一销售机构进行，且该销售机构同时代理拟转出基金与转入基金的销售。基金管理人在不损害各基金持有人权益的情况下可更改上述公式并公告。</w:t>
      </w:r>
    </w:p>
    <w:p w:rsidR="00CC523E" w:rsidRDefault="00B507E3">
      <w:pPr>
        <w:pStyle w:val="CM1"/>
        <w:spacing w:line="360" w:lineRule="auto"/>
        <w:ind w:firstLineChars="200" w:firstLine="420"/>
        <w:rPr>
          <w:szCs w:val="21"/>
        </w:rPr>
      </w:pPr>
      <w:r>
        <w:rPr>
          <w:rFonts w:hint="eastAsia"/>
          <w:sz w:val="21"/>
          <w:szCs w:val="21"/>
        </w:rPr>
        <w:t>3</w:t>
      </w:r>
      <w:r>
        <w:rPr>
          <w:rFonts w:hint="eastAsia"/>
          <w:sz w:val="21"/>
          <w:szCs w:val="21"/>
        </w:rPr>
        <w:t>、办理时间</w:t>
      </w:r>
    </w:p>
    <w:p w:rsidR="00CC523E" w:rsidRDefault="00B507E3">
      <w:pPr>
        <w:spacing w:line="360" w:lineRule="auto"/>
        <w:ind w:firstLine="420"/>
        <w:rPr>
          <w:rFonts w:ascii="宋体" w:cs="Times New Roman"/>
        </w:rPr>
      </w:pPr>
      <w:r>
        <w:rPr>
          <w:rFonts w:ascii="宋体" w:cs="Times New Roman" w:hint="eastAsia"/>
        </w:rPr>
        <w:t>自</w:t>
      </w:r>
      <w:r>
        <w:rPr>
          <w:rFonts w:ascii="宋体" w:cs="Times New Roman"/>
        </w:rPr>
        <w:t>2025</w:t>
      </w:r>
      <w:r>
        <w:rPr>
          <w:rFonts w:ascii="宋体" w:cs="Times New Roman"/>
        </w:rPr>
        <w:t>年</w:t>
      </w:r>
      <w:r>
        <w:rPr>
          <w:rFonts w:ascii="宋体" w:cs="Times New Roman"/>
        </w:rPr>
        <w:t>7</w:t>
      </w:r>
      <w:r>
        <w:rPr>
          <w:rFonts w:ascii="宋体" w:cs="Times New Roman"/>
        </w:rPr>
        <w:t>月</w:t>
      </w:r>
      <w:r>
        <w:rPr>
          <w:rFonts w:ascii="宋体" w:cs="Times New Roman"/>
        </w:rPr>
        <w:t>28</w:t>
      </w:r>
      <w:r>
        <w:rPr>
          <w:rFonts w:ascii="宋体" w:cs="Times New Roman"/>
        </w:rPr>
        <w:t>日</w:t>
      </w:r>
      <w:r>
        <w:rPr>
          <w:rFonts w:ascii="宋体" w:cs="Times New Roman" w:hint="eastAsia"/>
        </w:rPr>
        <w:t>起正式开通，转换业务办理时间为上海证券交易所和深圳证券交易所的正常交易日（基金管理人公告暂停基金转换业务时除外）。由于销售机构系统及业务安排等原因，开放日的具体交易时间可能有所不同，投资者应参照相关销售机构的具体规定。</w:t>
      </w:r>
    </w:p>
    <w:p w:rsidR="00CC523E" w:rsidRDefault="00B507E3">
      <w:pPr>
        <w:pStyle w:val="CM1"/>
        <w:spacing w:line="360" w:lineRule="auto"/>
        <w:ind w:firstLineChars="200" w:firstLine="420"/>
        <w:rPr>
          <w:szCs w:val="21"/>
        </w:rPr>
      </w:pPr>
      <w:r>
        <w:rPr>
          <w:sz w:val="21"/>
          <w:szCs w:val="21"/>
        </w:rPr>
        <w:t>4</w:t>
      </w:r>
      <w:r>
        <w:rPr>
          <w:rFonts w:hint="eastAsia"/>
          <w:sz w:val="21"/>
          <w:szCs w:val="21"/>
        </w:rPr>
        <w:t>、办理机构</w:t>
      </w:r>
    </w:p>
    <w:p w:rsidR="00CC523E" w:rsidRDefault="00B507E3">
      <w:pPr>
        <w:pStyle w:val="CM1"/>
        <w:spacing w:line="360" w:lineRule="auto"/>
        <w:ind w:firstLineChars="200" w:firstLine="420"/>
        <w:rPr>
          <w:szCs w:val="21"/>
        </w:rPr>
      </w:pPr>
      <w:r>
        <w:rPr>
          <w:rFonts w:hint="eastAsia"/>
          <w:sz w:val="21"/>
          <w:szCs w:val="21"/>
        </w:rPr>
        <w:t>投资者目前可以通过上述机构办理基金转换业务。</w:t>
      </w:r>
    </w:p>
    <w:p w:rsidR="00CC523E" w:rsidRDefault="00B507E3">
      <w:pPr>
        <w:pStyle w:val="CM1"/>
        <w:spacing w:line="360" w:lineRule="auto"/>
        <w:ind w:firstLineChars="200" w:firstLine="420"/>
        <w:rPr>
          <w:szCs w:val="21"/>
        </w:rPr>
      </w:pPr>
      <w:r>
        <w:rPr>
          <w:rFonts w:hint="eastAsia"/>
          <w:sz w:val="21"/>
          <w:szCs w:val="21"/>
        </w:rPr>
        <w:t>投资者在上述机构办理相关业务时，需遵循上述机构的相关规定，以上述机构的实际业务开展为准。</w:t>
      </w:r>
      <w:r>
        <w:rPr>
          <w:sz w:val="21"/>
          <w:szCs w:val="21"/>
        </w:rPr>
        <w:cr/>
        <w:t xml:space="preserve">    </w:t>
      </w:r>
      <w:r>
        <w:rPr>
          <w:rFonts w:hint="eastAsia"/>
          <w:sz w:val="21"/>
          <w:szCs w:val="21"/>
        </w:rPr>
        <w:t>基金管理人将根据业务发展情况，调整业务办理机构，届时将按规定在指定媒介上刊登公告</w:t>
      </w:r>
      <w:r>
        <w:rPr>
          <w:sz w:val="21"/>
          <w:szCs w:val="21"/>
        </w:rPr>
        <w:t>/</w:t>
      </w:r>
      <w:r>
        <w:rPr>
          <w:rFonts w:hint="eastAsia"/>
          <w:sz w:val="21"/>
          <w:szCs w:val="21"/>
        </w:rPr>
        <w:t>官方网站公示。</w:t>
      </w:r>
    </w:p>
    <w:p w:rsidR="00CC523E" w:rsidRDefault="00B507E3">
      <w:pPr>
        <w:pStyle w:val="CM1"/>
        <w:spacing w:line="360" w:lineRule="auto"/>
        <w:ind w:firstLineChars="200" w:firstLine="420"/>
        <w:rPr>
          <w:szCs w:val="21"/>
        </w:rPr>
      </w:pPr>
      <w:r>
        <w:rPr>
          <w:sz w:val="21"/>
          <w:szCs w:val="21"/>
        </w:rPr>
        <w:t>5</w:t>
      </w:r>
      <w:r>
        <w:rPr>
          <w:rFonts w:hint="eastAsia"/>
          <w:sz w:val="21"/>
          <w:szCs w:val="21"/>
        </w:rPr>
        <w:t>、基金转换的申请</w:t>
      </w:r>
    </w:p>
    <w:p w:rsidR="00CC523E" w:rsidRDefault="00B507E3">
      <w:pPr>
        <w:pStyle w:val="CM1"/>
        <w:spacing w:line="360" w:lineRule="auto"/>
        <w:ind w:firstLineChars="200" w:firstLine="420"/>
        <w:rPr>
          <w:szCs w:val="21"/>
        </w:rPr>
      </w:pPr>
      <w:r>
        <w:rPr>
          <w:rFonts w:hint="eastAsia"/>
          <w:sz w:val="21"/>
          <w:szCs w:val="21"/>
        </w:rPr>
        <w:t>（</w:t>
      </w:r>
      <w:r>
        <w:rPr>
          <w:rFonts w:hint="eastAsia"/>
          <w:sz w:val="21"/>
          <w:szCs w:val="21"/>
        </w:rPr>
        <w:t>1</w:t>
      </w:r>
      <w:r>
        <w:rPr>
          <w:rFonts w:hint="eastAsia"/>
          <w:sz w:val="21"/>
          <w:szCs w:val="21"/>
        </w:rPr>
        <w:t>）基金转换</w:t>
      </w:r>
      <w:r>
        <w:rPr>
          <w:rFonts w:hint="eastAsia"/>
          <w:sz w:val="21"/>
          <w:szCs w:val="21"/>
        </w:rPr>
        <w:t>的申请方式</w:t>
      </w:r>
    </w:p>
    <w:p w:rsidR="00CC523E" w:rsidRDefault="00B507E3">
      <w:pPr>
        <w:pStyle w:val="CM1"/>
        <w:spacing w:line="360" w:lineRule="auto"/>
        <w:ind w:firstLineChars="200" w:firstLine="420"/>
        <w:rPr>
          <w:rFonts w:cs="Times New Roman"/>
        </w:rPr>
      </w:pPr>
      <w:r>
        <w:rPr>
          <w:rFonts w:hint="eastAsia"/>
          <w:sz w:val="21"/>
          <w:szCs w:val="21"/>
        </w:rPr>
        <w:t>基金份额持有人必须根据基金管理人与各</w:t>
      </w:r>
      <w:r>
        <w:rPr>
          <w:sz w:val="21"/>
          <w:szCs w:val="21"/>
        </w:rPr>
        <w:t>销售机构</w:t>
      </w:r>
      <w:r>
        <w:rPr>
          <w:rFonts w:hint="eastAsia"/>
          <w:sz w:val="21"/>
          <w:szCs w:val="21"/>
        </w:rPr>
        <w:t>规定的手续，在开放日的交易时间段内提</w:t>
      </w:r>
      <w:r>
        <w:rPr>
          <w:rFonts w:cs="Times New Roman" w:hint="eastAsia"/>
          <w:sz w:val="22"/>
        </w:rPr>
        <w:t>出</w:t>
      </w:r>
      <w:r>
        <w:rPr>
          <w:rFonts w:cs="Times New Roman" w:hint="eastAsia"/>
          <w:sz w:val="21"/>
        </w:rPr>
        <w:t>基金转换申请。</w:t>
      </w:r>
    </w:p>
    <w:p w:rsidR="00CC523E" w:rsidRDefault="00B507E3">
      <w:pPr>
        <w:spacing w:line="360" w:lineRule="auto"/>
        <w:ind w:firstLine="420"/>
        <w:rPr>
          <w:rFonts w:ascii="宋体" w:cs="Times New Roman"/>
        </w:rPr>
      </w:pPr>
      <w:r>
        <w:rPr>
          <w:rFonts w:ascii="宋体" w:cs="Times New Roman" w:hint="eastAsia"/>
        </w:rPr>
        <w:t>（</w:t>
      </w:r>
      <w:r>
        <w:rPr>
          <w:rFonts w:ascii="宋体" w:cs="Times New Roman" w:hint="eastAsia"/>
        </w:rPr>
        <w:t>2</w:t>
      </w:r>
      <w:r>
        <w:rPr>
          <w:rFonts w:ascii="宋体" w:cs="Times New Roman" w:hint="eastAsia"/>
        </w:rPr>
        <w:t>）基金转换申请的确认</w:t>
      </w:r>
    </w:p>
    <w:p w:rsidR="00CC523E" w:rsidRDefault="00B507E3">
      <w:pPr>
        <w:spacing w:line="360" w:lineRule="auto"/>
        <w:ind w:firstLine="420"/>
        <w:rPr>
          <w:rFonts w:ascii="宋体" w:cs="Times New Roman"/>
        </w:rPr>
      </w:pPr>
      <w:r>
        <w:rPr>
          <w:rFonts w:ascii="宋体" w:cs="Times New Roman" w:hint="eastAsia"/>
        </w:rPr>
        <w:t>基金注册登记机构以收到基金转换申请的当天作为基金转换申请日（</w:t>
      </w:r>
      <w:r>
        <w:rPr>
          <w:rFonts w:ascii="宋体" w:cs="Times New Roman"/>
        </w:rPr>
        <w:t>T</w:t>
      </w:r>
      <w:r>
        <w:rPr>
          <w:rFonts w:ascii="宋体" w:cs="Times New Roman" w:hint="eastAsia"/>
        </w:rPr>
        <w:t>日），并在</w:t>
      </w:r>
      <w:r>
        <w:rPr>
          <w:rFonts w:ascii="宋体" w:cs="Times New Roman"/>
        </w:rPr>
        <w:t>T+1</w:t>
      </w:r>
      <w:r>
        <w:rPr>
          <w:rFonts w:ascii="宋体" w:cs="Times New Roman" w:hint="eastAsia"/>
        </w:rPr>
        <w:t>工作日对该交易的有效性进行确认。投资者可在</w:t>
      </w:r>
      <w:r>
        <w:rPr>
          <w:rFonts w:ascii="宋体" w:cs="Times New Roman"/>
        </w:rPr>
        <w:t>T+2</w:t>
      </w:r>
      <w:r>
        <w:rPr>
          <w:rFonts w:ascii="宋体" w:cs="Times New Roman" w:hint="eastAsia"/>
        </w:rPr>
        <w:t>工作日及之后到其提出基金转换申请的网点或网站进行成交查询，具体办理时间以基金管理人的规定或最新发布的公告为准。</w:t>
      </w:r>
    </w:p>
    <w:p w:rsidR="00CC523E" w:rsidRDefault="00B507E3">
      <w:pPr>
        <w:pStyle w:val="CM1"/>
        <w:spacing w:line="360" w:lineRule="auto"/>
        <w:ind w:firstLineChars="200" w:firstLine="420"/>
        <w:rPr>
          <w:szCs w:val="21"/>
        </w:rPr>
      </w:pPr>
      <w:r>
        <w:rPr>
          <w:sz w:val="21"/>
          <w:szCs w:val="21"/>
        </w:rPr>
        <w:t>6</w:t>
      </w:r>
      <w:r>
        <w:rPr>
          <w:rFonts w:hint="eastAsia"/>
          <w:sz w:val="21"/>
          <w:szCs w:val="21"/>
        </w:rPr>
        <w:t>、基金转换的数额限制</w:t>
      </w:r>
    </w:p>
    <w:p w:rsidR="00CC523E" w:rsidRDefault="00B507E3">
      <w:pPr>
        <w:spacing w:line="360" w:lineRule="auto"/>
        <w:ind w:firstLine="420"/>
        <w:rPr>
          <w:rFonts w:ascii="宋体" w:cs="Times New Roman"/>
        </w:rPr>
      </w:pPr>
      <w:r>
        <w:rPr>
          <w:rFonts w:ascii="宋体" w:cs="Times New Roman" w:hint="eastAsia"/>
        </w:rPr>
        <w:t>基金按照份额进行转换，申请转换份额精确到小数点后两位，单笔转换份额不得低于</w:t>
      </w:r>
      <w:r>
        <w:rPr>
          <w:rFonts w:ascii="宋体" w:cs="Times New Roman"/>
        </w:rPr>
        <w:t>1000</w:t>
      </w:r>
      <w:r>
        <w:rPr>
          <w:rFonts w:ascii="宋体" w:cs="Times New Roman" w:hint="eastAsia"/>
        </w:rPr>
        <w:t>份。</w:t>
      </w:r>
    </w:p>
    <w:p w:rsidR="00CC523E" w:rsidRDefault="00B507E3">
      <w:pPr>
        <w:spacing w:line="360" w:lineRule="auto"/>
        <w:ind w:firstLine="420"/>
        <w:rPr>
          <w:rFonts w:ascii="宋体" w:cs="Times New Roman"/>
        </w:rPr>
      </w:pPr>
      <w:r>
        <w:rPr>
          <w:rFonts w:ascii="宋体" w:cs="Times New Roman" w:hint="eastAsia"/>
        </w:rPr>
        <w:t>基金份额持有人申请转换时，如剩余份额低于</w:t>
      </w:r>
      <w:r>
        <w:rPr>
          <w:rFonts w:ascii="宋体" w:cs="Times New Roman"/>
        </w:rPr>
        <w:t>1000</w:t>
      </w:r>
      <w:r>
        <w:rPr>
          <w:rFonts w:ascii="宋体" w:cs="Times New Roman" w:hint="eastAsia"/>
        </w:rPr>
        <w:t>份，应选择一次性全部转出，具体数量限制以各</w:t>
      </w:r>
      <w:r>
        <w:rPr>
          <w:rFonts w:ascii="宋体" w:cs="Times New Roman"/>
        </w:rPr>
        <w:t>销售机构</w:t>
      </w:r>
      <w:r>
        <w:rPr>
          <w:rFonts w:ascii="宋体" w:cs="Times New Roman" w:hint="eastAsia"/>
        </w:rPr>
        <w:t>的规定为准。</w:t>
      </w:r>
    </w:p>
    <w:p w:rsidR="00CC523E" w:rsidRDefault="00B507E3">
      <w:pPr>
        <w:pStyle w:val="CM1"/>
        <w:spacing w:line="360" w:lineRule="auto"/>
        <w:ind w:firstLineChars="200" w:firstLine="420"/>
        <w:rPr>
          <w:szCs w:val="21"/>
        </w:rPr>
      </w:pPr>
      <w:r>
        <w:rPr>
          <w:sz w:val="21"/>
          <w:szCs w:val="21"/>
        </w:rPr>
        <w:t>7</w:t>
      </w:r>
      <w:r>
        <w:rPr>
          <w:rFonts w:hint="eastAsia"/>
          <w:sz w:val="21"/>
          <w:szCs w:val="21"/>
        </w:rPr>
        <w:t>、基金转换的注册登记</w:t>
      </w:r>
    </w:p>
    <w:p w:rsidR="00CC523E" w:rsidRDefault="00B507E3">
      <w:pPr>
        <w:spacing w:line="360" w:lineRule="auto"/>
        <w:ind w:firstLine="420"/>
        <w:rPr>
          <w:rFonts w:ascii="宋体" w:cs="Times New Roman"/>
        </w:rPr>
      </w:pPr>
      <w:r>
        <w:rPr>
          <w:rFonts w:ascii="宋体" w:cs="Times New Roman" w:hint="eastAsia"/>
        </w:rPr>
        <w:t>（</w:t>
      </w:r>
      <w:r>
        <w:rPr>
          <w:rFonts w:ascii="宋体" w:cs="Times New Roman"/>
        </w:rPr>
        <w:t>1</w:t>
      </w:r>
      <w:r>
        <w:rPr>
          <w:rFonts w:ascii="宋体" w:cs="Times New Roman" w:hint="eastAsia"/>
        </w:rPr>
        <w:t>）基金投资者提出的基金转换申请，在当日交易时间结束前可以撤销，交易时间结束后即不得撤销。</w:t>
      </w:r>
    </w:p>
    <w:p w:rsidR="00CC523E" w:rsidRDefault="00B507E3">
      <w:pPr>
        <w:spacing w:line="360" w:lineRule="auto"/>
        <w:ind w:firstLine="420"/>
        <w:rPr>
          <w:rFonts w:ascii="宋体" w:cs="Times New Roman"/>
        </w:rPr>
      </w:pPr>
      <w:r>
        <w:rPr>
          <w:rFonts w:ascii="宋体" w:cs="Times New Roman" w:hint="eastAsia"/>
        </w:rPr>
        <w:t>（</w:t>
      </w:r>
      <w:r>
        <w:rPr>
          <w:rFonts w:ascii="宋体" w:cs="Times New Roman" w:hint="eastAsia"/>
        </w:rPr>
        <w:t>2</w:t>
      </w:r>
      <w:r>
        <w:rPr>
          <w:rFonts w:ascii="宋体" w:cs="Times New Roman" w:hint="eastAsia"/>
        </w:rPr>
        <w:t>）基金持有人申请基金转换成功后，基金注册登记机构在</w:t>
      </w:r>
      <w:r>
        <w:rPr>
          <w:rFonts w:ascii="宋体" w:cs="Times New Roman"/>
        </w:rPr>
        <w:t>T+1</w:t>
      </w:r>
      <w:r>
        <w:rPr>
          <w:rFonts w:ascii="宋体" w:cs="Times New Roman" w:hint="eastAsia"/>
        </w:rPr>
        <w:t>工作日为基金持有人办理相关的注册登记手续，具体办理时间以基金管理人的规定或最新发布的公告为准。</w:t>
      </w:r>
    </w:p>
    <w:p w:rsidR="00CC523E" w:rsidRDefault="00B507E3">
      <w:pPr>
        <w:spacing w:line="360" w:lineRule="auto"/>
        <w:ind w:firstLine="420"/>
        <w:rPr>
          <w:rFonts w:ascii="宋体" w:cs="Times New Roman"/>
        </w:rPr>
      </w:pPr>
      <w:r>
        <w:rPr>
          <w:rFonts w:ascii="宋体" w:cs="Times New Roman" w:hint="eastAsia"/>
        </w:rPr>
        <w:t>（</w:t>
      </w:r>
      <w:r>
        <w:rPr>
          <w:rFonts w:ascii="宋体" w:cs="Times New Roman" w:hint="eastAsia"/>
        </w:rPr>
        <w:t>3</w:t>
      </w:r>
      <w:r>
        <w:rPr>
          <w:rFonts w:ascii="宋体" w:cs="Times New Roman" w:hint="eastAsia"/>
        </w:rPr>
        <w:t>）基金管理人可在法律法规允许的范围内，对上述注册登记办理时间进行调整并公告。</w:t>
      </w:r>
    </w:p>
    <w:p w:rsidR="00CC523E" w:rsidRDefault="00CC523E">
      <w:pPr>
        <w:pStyle w:val="aa"/>
        <w:tabs>
          <w:tab w:val="left" w:pos="851"/>
        </w:tabs>
        <w:spacing w:line="360" w:lineRule="auto"/>
        <w:ind w:firstLine="422"/>
        <w:rPr>
          <w:rFonts w:ascii="宋体" w:cs="宋体"/>
          <w:b/>
          <w:color w:val="000000"/>
          <w:szCs w:val="21"/>
        </w:rPr>
      </w:pPr>
    </w:p>
    <w:p w:rsidR="00CC523E" w:rsidRDefault="00B507E3">
      <w:pPr>
        <w:pStyle w:val="aa"/>
        <w:tabs>
          <w:tab w:val="left" w:pos="851"/>
        </w:tabs>
        <w:spacing w:line="360" w:lineRule="auto"/>
        <w:ind w:firstLine="422"/>
        <w:rPr>
          <w:rFonts w:ascii="宋体"/>
          <w:color w:val="000000"/>
          <w:sz w:val="24"/>
          <w:szCs w:val="24"/>
        </w:rPr>
      </w:pPr>
      <w:r>
        <w:rPr>
          <w:rFonts w:ascii="宋体" w:cs="宋体" w:hint="eastAsia"/>
          <w:b/>
          <w:color w:val="000000"/>
          <w:szCs w:val="21"/>
        </w:rPr>
        <w:t>三、投资者可以通过以下途径咨询有关详情：</w:t>
      </w:r>
      <w:r>
        <w:rPr>
          <w:rFonts w:ascii="宋体" w:cs="宋体" w:hint="eastAsia"/>
          <w:b/>
          <w:color w:val="000000"/>
          <w:szCs w:val="21"/>
        </w:rPr>
        <w:t xml:space="preserve"> </w:t>
      </w:r>
    </w:p>
    <w:p w:rsidR="00CC523E" w:rsidRDefault="00B507E3">
      <w:pPr>
        <w:spacing w:line="377" w:lineRule="auto"/>
        <w:ind w:firstLine="420"/>
      </w:pPr>
      <w:r>
        <w:rPr>
          <w:rFonts w:ascii="宋体" w:cs="宋体"/>
          <w:kern w:val="0"/>
          <w:szCs w:val="21"/>
        </w:rPr>
        <w:t>1</w:t>
      </w:r>
      <w:r>
        <w:rPr>
          <w:rFonts w:ascii="宋体" w:cs="宋体"/>
          <w:kern w:val="0"/>
          <w:szCs w:val="21"/>
        </w:rPr>
        <w:t>、平安银行股份有限公司</w:t>
      </w:r>
    </w:p>
    <w:p w:rsidR="00CC523E" w:rsidRDefault="00B507E3">
      <w:pPr>
        <w:spacing w:line="377" w:lineRule="auto"/>
        <w:ind w:firstLine="420"/>
      </w:pPr>
      <w:r>
        <w:rPr>
          <w:rFonts w:ascii="宋体" w:cs="宋体"/>
          <w:kern w:val="0"/>
          <w:szCs w:val="21"/>
        </w:rPr>
        <w:t>公司网站：</w:t>
      </w:r>
      <w:r>
        <w:rPr>
          <w:rFonts w:ascii="宋体" w:cs="宋体"/>
          <w:kern w:val="0"/>
          <w:szCs w:val="21"/>
        </w:rPr>
        <w:t>bank.pingan.com</w:t>
      </w:r>
    </w:p>
    <w:p w:rsidR="00CC523E" w:rsidRDefault="00B507E3">
      <w:pPr>
        <w:spacing w:line="377" w:lineRule="auto"/>
        <w:ind w:firstLine="420"/>
      </w:pPr>
      <w:r>
        <w:rPr>
          <w:rFonts w:ascii="宋体" w:cs="宋体"/>
          <w:kern w:val="0"/>
          <w:szCs w:val="21"/>
        </w:rPr>
        <w:t>客户服务电话：</w:t>
      </w:r>
      <w:r>
        <w:rPr>
          <w:rFonts w:ascii="宋体" w:cs="宋体"/>
          <w:kern w:val="0"/>
          <w:szCs w:val="21"/>
        </w:rPr>
        <w:t>95511-3</w:t>
      </w:r>
    </w:p>
    <w:p w:rsidR="00CC523E" w:rsidRDefault="00B507E3">
      <w:pPr>
        <w:spacing w:line="377" w:lineRule="auto"/>
        <w:ind w:firstLine="420"/>
      </w:pPr>
      <w:r>
        <w:rPr>
          <w:rFonts w:ascii="宋体" w:cs="宋体"/>
          <w:kern w:val="0"/>
          <w:szCs w:val="21"/>
        </w:rPr>
        <w:t>2</w:t>
      </w:r>
      <w:r>
        <w:rPr>
          <w:rFonts w:ascii="宋体" w:cs="宋体"/>
          <w:kern w:val="0"/>
          <w:szCs w:val="21"/>
        </w:rPr>
        <w:t>、中银基金管理有限公司</w:t>
      </w:r>
    </w:p>
    <w:p w:rsidR="00CC523E" w:rsidRDefault="00B507E3">
      <w:pPr>
        <w:spacing w:line="377" w:lineRule="auto"/>
        <w:ind w:firstLine="420"/>
      </w:pPr>
      <w:r>
        <w:rPr>
          <w:rFonts w:ascii="宋体" w:cs="宋体"/>
          <w:kern w:val="0"/>
          <w:szCs w:val="21"/>
        </w:rPr>
        <w:t>公司网站：</w:t>
      </w:r>
      <w:r>
        <w:rPr>
          <w:rFonts w:ascii="宋体" w:cs="宋体"/>
          <w:kern w:val="0"/>
          <w:szCs w:val="21"/>
        </w:rPr>
        <w:t>www.bocim.com</w:t>
      </w:r>
    </w:p>
    <w:p w:rsidR="00CC523E" w:rsidRDefault="00B507E3">
      <w:pPr>
        <w:spacing w:line="377" w:lineRule="auto"/>
        <w:ind w:firstLine="420"/>
      </w:pPr>
      <w:r>
        <w:rPr>
          <w:rFonts w:ascii="宋体" w:cs="宋体"/>
          <w:kern w:val="0"/>
          <w:szCs w:val="21"/>
        </w:rPr>
        <w:t>客户服务电话：</w:t>
      </w:r>
      <w:r>
        <w:rPr>
          <w:rFonts w:ascii="宋体" w:cs="宋体"/>
          <w:kern w:val="0"/>
          <w:szCs w:val="21"/>
        </w:rPr>
        <w:t>400-888-5566</w:t>
      </w:r>
      <w:r>
        <w:rPr>
          <w:rFonts w:ascii="宋体" w:cs="宋体"/>
          <w:kern w:val="0"/>
          <w:szCs w:val="21"/>
        </w:rPr>
        <w:t>；</w:t>
      </w:r>
      <w:r>
        <w:rPr>
          <w:rFonts w:ascii="宋体" w:cs="宋体"/>
          <w:kern w:val="0"/>
          <w:szCs w:val="21"/>
        </w:rPr>
        <w:t>021-38834788</w:t>
      </w:r>
    </w:p>
    <w:p w:rsidR="00CC523E" w:rsidRDefault="00CC523E">
      <w:pPr>
        <w:pStyle w:val="Default"/>
      </w:pPr>
    </w:p>
    <w:p w:rsidR="00CC523E" w:rsidRDefault="00B507E3">
      <w:pPr>
        <w:pStyle w:val="Default"/>
        <w:ind w:firstLineChars="200" w:firstLine="422"/>
        <w:rPr>
          <w:b/>
          <w:sz w:val="21"/>
        </w:rPr>
      </w:pPr>
      <w:r>
        <w:rPr>
          <w:b/>
          <w:sz w:val="21"/>
        </w:rPr>
        <w:t>四</w:t>
      </w:r>
      <w:r>
        <w:rPr>
          <w:rFonts w:hint="eastAsia"/>
          <w:b/>
          <w:sz w:val="21"/>
        </w:rPr>
        <w:t>、重要提示</w:t>
      </w:r>
    </w:p>
    <w:p w:rsidR="00CC523E" w:rsidRDefault="00B507E3">
      <w:pPr>
        <w:pStyle w:val="Default"/>
        <w:spacing w:line="360" w:lineRule="auto"/>
        <w:ind w:firstLineChars="200" w:firstLine="420"/>
        <w:rPr>
          <w:sz w:val="21"/>
        </w:rPr>
      </w:pPr>
      <w:r>
        <w:rPr>
          <w:rFonts w:hint="eastAsia"/>
          <w:sz w:val="21"/>
        </w:rPr>
        <w:t>1</w:t>
      </w:r>
      <w:r>
        <w:rPr>
          <w:rFonts w:hint="eastAsia"/>
          <w:sz w:val="21"/>
        </w:rPr>
        <w:t>、本公告仅对基金开通基金份额转换业务有关事项予以说明。</w:t>
      </w:r>
    </w:p>
    <w:p w:rsidR="00CC523E" w:rsidRDefault="00B507E3">
      <w:pPr>
        <w:pStyle w:val="Default"/>
        <w:spacing w:line="360" w:lineRule="auto"/>
        <w:ind w:firstLineChars="200" w:firstLine="420"/>
        <w:rPr>
          <w:sz w:val="21"/>
        </w:rPr>
      </w:pPr>
      <w:r>
        <w:rPr>
          <w:rFonts w:hint="eastAsia"/>
          <w:sz w:val="21"/>
        </w:rPr>
        <w:t>2</w:t>
      </w:r>
      <w:r>
        <w:rPr>
          <w:rFonts w:hint="eastAsia"/>
          <w:sz w:val="21"/>
        </w:rPr>
        <w:t>、投资者应认真阅读拟投资基金的《基金合同》、《招募说明书》、《产品资料概要》法律文件，了解所投资基金的风险收益特征，并根据自身情况购买与本人风险承受能力相匹配的产品。</w:t>
      </w:r>
    </w:p>
    <w:p w:rsidR="00CC523E" w:rsidRDefault="00B507E3">
      <w:pPr>
        <w:pStyle w:val="Default"/>
        <w:spacing w:line="360" w:lineRule="auto"/>
        <w:ind w:firstLineChars="200" w:firstLine="420"/>
        <w:rPr>
          <w:sz w:val="21"/>
        </w:rPr>
      </w:pPr>
      <w:r>
        <w:rPr>
          <w:sz w:val="21"/>
        </w:rPr>
        <w:t>3</w:t>
      </w:r>
      <w:r>
        <w:rPr>
          <w:rFonts w:hint="eastAsia"/>
          <w:sz w:val="21"/>
        </w:rPr>
        <w:t>、本次所开通业务办理的相关规则及流程以上述销售机构的安排和规定为准，投资者欲了解各基金产品的详细情况，请仔细阅读各基金的基金合同、基金招募说明书（更新）、产品资料概要（更新）等法律文件。</w:t>
      </w:r>
    </w:p>
    <w:p w:rsidR="00CC523E" w:rsidRDefault="00B507E3">
      <w:pPr>
        <w:pStyle w:val="Default"/>
        <w:spacing w:line="360" w:lineRule="auto"/>
        <w:ind w:firstLineChars="200" w:firstLine="420"/>
        <w:rPr>
          <w:sz w:val="21"/>
        </w:rPr>
      </w:pPr>
      <w:r>
        <w:rPr>
          <w:sz w:val="21"/>
        </w:rPr>
        <w:t>4</w:t>
      </w:r>
      <w:r>
        <w:rPr>
          <w:rFonts w:hint="eastAsia"/>
          <w:sz w:val="21"/>
        </w:rPr>
        <w:t>、基金转换业务适用于上述销售机构代销基金且同属同一登记结算中心开通转换业务开放式基金，详细信息请查阅基金管理人相关公告。基金管理人今后发行的开放式基金将根据具体情况确定是否适用于基金转换业务并另行公告。</w:t>
      </w:r>
      <w:r>
        <w:rPr>
          <w:sz w:val="21"/>
        </w:rPr>
        <w:t>本次开通转换业务的基金，同一产品的不同份额间不能互转。</w:t>
      </w:r>
    </w:p>
    <w:p w:rsidR="00CC523E" w:rsidRDefault="00CC523E">
      <w:pPr>
        <w:pStyle w:val="Default"/>
      </w:pPr>
    </w:p>
    <w:p w:rsidR="00CC523E" w:rsidRDefault="00B507E3">
      <w:pPr>
        <w:pStyle w:val="CM1"/>
        <w:spacing w:line="360" w:lineRule="auto"/>
        <w:ind w:firstLine="420"/>
        <w:rPr>
          <w:rFonts w:cs="宋体"/>
          <w:b/>
          <w:sz w:val="21"/>
          <w:szCs w:val="21"/>
        </w:rPr>
      </w:pPr>
      <w:r>
        <w:rPr>
          <w:rFonts w:cs="宋体" w:hint="eastAsia"/>
          <w:b/>
          <w:sz w:val="21"/>
          <w:szCs w:val="21"/>
        </w:rPr>
        <w:t>风险提示：</w:t>
      </w:r>
    </w:p>
    <w:p w:rsidR="00CC523E" w:rsidRDefault="00B507E3">
      <w:pPr>
        <w:pStyle w:val="CM5"/>
        <w:spacing w:line="360" w:lineRule="auto"/>
        <w:ind w:firstLine="420"/>
        <w:rPr>
          <w:rFonts w:cs="宋体"/>
          <w:sz w:val="21"/>
          <w:szCs w:val="21"/>
        </w:rPr>
      </w:pPr>
      <w:r>
        <w:rPr>
          <w:rFonts w:cs="宋体" w:hint="eastAsia"/>
          <w:sz w:val="21"/>
          <w:szCs w:val="21"/>
        </w:rPr>
        <w:t>基金管理人承诺依照诚实信用、勤勉尽职的原则管理和运用基金资产，但不保证基金一定盈利，也不保证最低收益，在市场波动等因素的影响下，基金投资存在本金损失的风险。基金的过往业绩及其净值高低并不预示其未来业绩表现。基金管理人提醒投资者基金投资的</w:t>
      </w:r>
      <w:r>
        <w:rPr>
          <w:rFonts w:cs="宋体"/>
          <w:sz w:val="21"/>
          <w:szCs w:val="21"/>
        </w:rPr>
        <w:t>“</w:t>
      </w:r>
      <w:r>
        <w:rPr>
          <w:rFonts w:cs="宋体" w:hint="eastAsia"/>
          <w:sz w:val="21"/>
          <w:szCs w:val="21"/>
        </w:rPr>
        <w:t>买者自负</w:t>
      </w:r>
      <w:r>
        <w:rPr>
          <w:rFonts w:cs="宋体"/>
          <w:sz w:val="21"/>
          <w:szCs w:val="21"/>
        </w:rPr>
        <w:t>”</w:t>
      </w:r>
      <w:r>
        <w:rPr>
          <w:rFonts w:cs="宋体" w:hint="eastAsia"/>
          <w:sz w:val="21"/>
          <w:szCs w:val="21"/>
        </w:rPr>
        <w:t>原则，在做出投资决策后，基金运营状况与基金净值变化引致的投资风险，由投资者自行负担。</w:t>
      </w:r>
    </w:p>
    <w:p w:rsidR="00CC523E" w:rsidRDefault="00B507E3">
      <w:pPr>
        <w:pStyle w:val="CM5"/>
        <w:spacing w:line="360" w:lineRule="auto"/>
        <w:ind w:firstLine="420"/>
        <w:rPr>
          <w:rFonts w:cs="宋体"/>
          <w:sz w:val="21"/>
          <w:szCs w:val="21"/>
        </w:rPr>
      </w:pPr>
      <w:r>
        <w:rPr>
          <w:rFonts w:cs="宋体"/>
          <w:sz w:val="21"/>
          <w:szCs w:val="21"/>
        </w:rPr>
        <w:t>投资于货币市场基金并不等同于将资金作为存款存放在银行或存款类金融机构。</w:t>
      </w:r>
      <w:r>
        <w:rPr>
          <w:rFonts w:cs="宋体" w:hint="eastAsia"/>
          <w:sz w:val="21"/>
          <w:szCs w:val="21"/>
        </w:rPr>
        <w:t>投资者投资本基金前应认真阅读基金合同、招募说明书、</w:t>
      </w:r>
      <w:r>
        <w:rPr>
          <w:rFonts w:cs="宋体"/>
          <w:sz w:val="21"/>
          <w:szCs w:val="21"/>
        </w:rPr>
        <w:t>产品资料</w:t>
      </w:r>
      <w:r>
        <w:rPr>
          <w:rFonts w:cs="宋体" w:hint="eastAsia"/>
          <w:sz w:val="21"/>
          <w:szCs w:val="21"/>
        </w:rPr>
        <w:t>概要</w:t>
      </w:r>
      <w:bookmarkStart w:id="0" w:name="_GoBack"/>
      <w:bookmarkEnd w:id="0"/>
      <w:r>
        <w:rPr>
          <w:rFonts w:cs="宋体" w:hint="eastAsia"/>
          <w:sz w:val="21"/>
          <w:szCs w:val="21"/>
        </w:rPr>
        <w:t>等法律文件，了解拟投资基金的风险收益特征，根据</w:t>
      </w:r>
      <w:r>
        <w:rPr>
          <w:rFonts w:cs="宋体" w:hint="eastAsia"/>
          <w:sz w:val="21"/>
          <w:szCs w:val="21"/>
        </w:rPr>
        <w:t>自身投资目的、投资期限、投资经验、资产状况等判断基金是否和投资者的风险承受能力相匹配，并按照销售机构的要求完成风险承受能力与产品风险之间的匹配检验。</w:t>
      </w:r>
    </w:p>
    <w:p w:rsidR="00CC523E" w:rsidRDefault="00CC523E">
      <w:pPr>
        <w:rPr>
          <w:rFonts w:ascii="宋体"/>
          <w:szCs w:val="21"/>
        </w:rPr>
      </w:pPr>
    </w:p>
    <w:p w:rsidR="00CC523E" w:rsidRDefault="00B507E3">
      <w:pPr>
        <w:ind w:firstLineChars="200" w:firstLine="420"/>
        <w:rPr>
          <w:rFonts w:ascii="宋体"/>
          <w:szCs w:val="21"/>
        </w:rPr>
      </w:pPr>
      <w:r>
        <w:rPr>
          <w:rFonts w:ascii="宋体" w:hint="eastAsia"/>
          <w:szCs w:val="21"/>
        </w:rPr>
        <w:t>特此公告。</w:t>
      </w:r>
    </w:p>
    <w:p w:rsidR="00CC523E" w:rsidRDefault="00CC523E">
      <w:pPr>
        <w:ind w:firstLineChars="200" w:firstLine="420"/>
        <w:rPr>
          <w:rFonts w:ascii="宋体"/>
          <w:szCs w:val="21"/>
        </w:rPr>
      </w:pPr>
    </w:p>
    <w:p w:rsidR="00CC523E" w:rsidRDefault="00B507E3">
      <w:pPr>
        <w:pStyle w:val="Default"/>
        <w:spacing w:line="360" w:lineRule="auto"/>
        <w:jc w:val="right"/>
        <w:rPr>
          <w:color w:val="auto"/>
          <w:sz w:val="21"/>
          <w:szCs w:val="21"/>
        </w:rPr>
      </w:pPr>
      <w:r>
        <w:rPr>
          <w:rFonts w:hint="eastAsia"/>
          <w:color w:val="auto"/>
          <w:sz w:val="21"/>
          <w:szCs w:val="21"/>
        </w:rPr>
        <w:t>中银基金管理有限公司</w:t>
      </w:r>
    </w:p>
    <w:p w:rsidR="00CC523E" w:rsidRDefault="00B507E3">
      <w:pPr>
        <w:pStyle w:val="Default"/>
        <w:spacing w:line="360" w:lineRule="auto"/>
        <w:jc w:val="right"/>
        <w:rPr>
          <w:sz w:val="21"/>
          <w:szCs w:val="21"/>
        </w:rPr>
      </w:pPr>
      <w:r>
        <w:rPr>
          <w:color w:val="auto"/>
          <w:sz w:val="21"/>
          <w:szCs w:val="21"/>
        </w:rPr>
        <w:t>2025</w:t>
      </w:r>
      <w:r>
        <w:rPr>
          <w:color w:val="auto"/>
          <w:sz w:val="21"/>
          <w:szCs w:val="21"/>
        </w:rPr>
        <w:t>年</w:t>
      </w:r>
      <w:r>
        <w:rPr>
          <w:color w:val="auto"/>
          <w:sz w:val="21"/>
          <w:szCs w:val="21"/>
        </w:rPr>
        <w:t>7</w:t>
      </w:r>
      <w:r>
        <w:rPr>
          <w:color w:val="auto"/>
          <w:sz w:val="21"/>
          <w:szCs w:val="21"/>
        </w:rPr>
        <w:t>月</w:t>
      </w:r>
      <w:r>
        <w:rPr>
          <w:color w:val="auto"/>
          <w:sz w:val="21"/>
          <w:szCs w:val="21"/>
        </w:rPr>
        <w:t>28</w:t>
      </w:r>
      <w:r>
        <w:rPr>
          <w:color w:val="auto"/>
          <w:sz w:val="21"/>
          <w:szCs w:val="21"/>
        </w:rPr>
        <w:t>日</w:t>
      </w:r>
    </w:p>
    <w:sectPr w:rsidR="00CC523E" w:rsidSect="00CC523E">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23E" w:rsidRDefault="00CC523E"/>
  </w:endnote>
  <w:endnote w:type="continuationSeparator" w:id="0">
    <w:p w:rsidR="00CC523E" w:rsidRDefault="00CC523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xi Sans">
    <w:altName w:val="Times New Roman"/>
    <w:charset w:val="00"/>
    <w:family w:val="auto"/>
    <w:pitch w:val="default"/>
    <w:sig w:usb0="00000000" w:usb1="00000000" w:usb2="00000000" w:usb3="00000000" w:csb0="00000000" w:csb1="00000000"/>
  </w:font>
  <w:font w:name="黑体">
    <w:altName w:val="SimHei"/>
    <w:panose1 w:val="02010600030101010101"/>
    <w:charset w:val="86"/>
    <w:family w:val="modern"/>
    <w:notTrueType/>
    <w:pitch w:val="fixed"/>
    <w:sig w:usb0="00000001"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23E" w:rsidRDefault="00CC523E"/>
  </w:footnote>
  <w:footnote w:type="continuationSeparator" w:id="0">
    <w:p w:rsidR="00CC523E" w:rsidRDefault="00CC523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0D90"/>
    <w:multiLevelType w:val="multilevel"/>
    <w:tmpl w:val="00490D90"/>
    <w:lvl w:ilvl="0">
      <w:start w:val="1"/>
      <w:numFmt w:val="japaneseCounting"/>
      <w:lvlText w:val="%1、"/>
      <w:legacy w:legacy="1" w:legacySpace="0" w:legacyIndent="420"/>
      <w:lvlJc w:val="left"/>
      <w:pPr>
        <w:ind w:left="840" w:hanging="420"/>
      </w:pPr>
      <w:rPr>
        <w:rFonts w:hint="default"/>
        <w:b/>
      </w:rPr>
    </w:lvl>
    <w:lvl w:ilvl="1">
      <w:start w:val="1"/>
      <w:numFmt w:val="decimal"/>
      <w:lvlText w:val="%2、"/>
      <w:legacy w:legacy="1" w:legacySpace="0" w:legacyIndent="360"/>
      <w:lvlJc w:val="left"/>
      <w:pPr>
        <w:ind w:left="1200" w:hanging="360"/>
      </w:pPr>
      <w:rPr>
        <w:rFonts w:hint="default"/>
      </w:rPr>
    </w:lvl>
    <w:lvl w:ilvl="2">
      <w:start w:val="1"/>
      <w:numFmt w:val="lowerRoman"/>
      <w:lvlText w:val="%3."/>
      <w:legacy w:legacy="1" w:legacySpace="0" w:legacyIndent="420"/>
      <w:lvlJc w:val="right"/>
      <w:pPr>
        <w:ind w:left="1680" w:hanging="420"/>
      </w:pPr>
    </w:lvl>
    <w:lvl w:ilvl="3">
      <w:start w:val="1"/>
      <w:numFmt w:val="decimal"/>
      <w:lvlText w:val="%4."/>
      <w:legacy w:legacy="1" w:legacySpace="0" w:legacyIndent="420"/>
      <w:lvlJc w:val="left"/>
      <w:pPr>
        <w:ind w:left="2100" w:hanging="420"/>
      </w:pPr>
    </w:lvl>
    <w:lvl w:ilvl="4">
      <w:start w:val="1"/>
      <w:numFmt w:val="lowerLetter"/>
      <w:lvlText w:val="%5)"/>
      <w:legacy w:legacy="1" w:legacySpace="0" w:legacyIndent="420"/>
      <w:lvlJc w:val="left"/>
      <w:pPr>
        <w:ind w:left="2520" w:hanging="420"/>
      </w:pPr>
    </w:lvl>
    <w:lvl w:ilvl="5">
      <w:start w:val="1"/>
      <w:numFmt w:val="lowerRoman"/>
      <w:lvlText w:val="%6."/>
      <w:legacy w:legacy="1" w:legacySpace="0" w:legacyIndent="420"/>
      <w:lvlJc w:val="right"/>
      <w:pPr>
        <w:ind w:left="2940" w:hanging="420"/>
      </w:pPr>
    </w:lvl>
    <w:lvl w:ilvl="6">
      <w:start w:val="1"/>
      <w:numFmt w:val="decimal"/>
      <w:lvlText w:val="%7."/>
      <w:legacy w:legacy="1" w:legacySpace="0" w:legacyIndent="420"/>
      <w:lvlJc w:val="left"/>
      <w:pPr>
        <w:ind w:left="3360" w:hanging="420"/>
      </w:pPr>
    </w:lvl>
    <w:lvl w:ilvl="7">
      <w:start w:val="1"/>
      <w:numFmt w:val="lowerLetter"/>
      <w:lvlText w:val="%8)"/>
      <w:legacy w:legacy="1" w:legacySpace="0" w:legacyIndent="420"/>
      <w:lvlJc w:val="left"/>
      <w:pPr>
        <w:ind w:left="3780" w:hanging="420"/>
      </w:pPr>
    </w:lvl>
    <w:lvl w:ilvl="8">
      <w:start w:val="1"/>
      <w:numFmt w:val="lowerRoman"/>
      <w:lvlText w:val="%9."/>
      <w:legacy w:legacy="1" w:legacySpace="0" w:legacyIndent="420"/>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trackRevisions/>
  <w:defaultTabStop w:val="420"/>
  <w:drawingGridHorizontalSpacing w:val="105"/>
  <w:drawingGridVerticalSpacing w:val="156"/>
  <w:displayHorizontalDrawingGridEvery w:val="0"/>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
  <w:rsids>
    <w:rsidRoot w:val="00B803F6"/>
    <w:rsid w:val="003279D1"/>
    <w:rsid w:val="0047162B"/>
    <w:rsid w:val="009E59F2"/>
    <w:rsid w:val="00B507E3"/>
    <w:rsid w:val="00B803F6"/>
    <w:rsid w:val="00CC523E"/>
    <w:rsid w:val="07D87C6E"/>
    <w:rsid w:val="53DC0B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qFormat="1"/>
    <w:lsdException w:name="toc 5" w:semiHidden="0" w:uiPriority="0" w:unhideWhenUsed="0"/>
    <w:lsdException w:name="toc 6" w:uiPriority="39"/>
    <w:lsdException w:name="toc 7" w:uiPriority="39"/>
    <w:lsdException w:name="toc 8" w:uiPriority="39"/>
    <w:lsdException w:name="toc 9" w:uiPriority="39"/>
    <w:lsdException w:name="annotation text" w:semiHidden="0" w:uiPriority="0" w:unhideWhenUsed="0"/>
    <w:lsdException w:name="header" w:semiHidden="0" w:uiPriority="0" w:unhideWhenUsed="0"/>
    <w:lsdException w:name="footer" w:semiHidden="0" w:uiPriority="0" w:unhideWhenUsed="0"/>
    <w:lsdException w:name="caption" w:uiPriority="35" w:qFormat="1"/>
    <w:lsdException w:name="annotation reference" w:semiHidden="0" w:uiPriority="0" w:unhideWhenUsed="0"/>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annotation subject" w:semiHidden="0" w:uiPriority="0" w:unhideWhenUsed="0"/>
    <w:lsdException w:name="Balloon Text" w:semiHidden="0" w:uiPriority="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C523E"/>
    <w:pPr>
      <w:widowControl w:val="0"/>
      <w:jc w:val="both"/>
    </w:pPr>
    <w:rPr>
      <w:rFonts w:ascii="Calibri" w:hAnsi="Calibri" w:cs="Arial"/>
      <w:kern w:val="2"/>
      <w:sz w:val="21"/>
      <w:szCs w:val="22"/>
    </w:rPr>
  </w:style>
  <w:style w:type="paragraph" w:styleId="1">
    <w:name w:val="heading 1"/>
    <w:basedOn w:val="a"/>
    <w:next w:val="a"/>
    <w:rsid w:val="00CC523E"/>
    <w:pPr>
      <w:keepNext/>
      <w:keepLines/>
      <w:spacing w:before="340" w:after="330" w:line="578" w:lineRule="auto"/>
      <w:outlineLvl w:val="0"/>
    </w:pPr>
    <w:rPr>
      <w:b/>
      <w:bCs/>
      <w:kern w:val="44"/>
      <w:sz w:val="44"/>
    </w:rPr>
  </w:style>
  <w:style w:type="paragraph" w:styleId="2">
    <w:name w:val="heading 2"/>
    <w:basedOn w:val="a"/>
    <w:next w:val="a"/>
    <w:rsid w:val="00CC523E"/>
    <w:pPr>
      <w:keepNext/>
      <w:keepLines/>
      <w:spacing w:before="260" w:after="260" w:line="415" w:lineRule="auto"/>
      <w:outlineLvl w:val="1"/>
    </w:pPr>
    <w:rPr>
      <w:rFonts w:ascii="Luxi Sans" w:eastAsia="黑体" w:hAnsi="Luxi Sans"/>
      <w:b/>
      <w:sz w:val="32"/>
    </w:rPr>
  </w:style>
  <w:style w:type="paragraph" w:styleId="3">
    <w:name w:val="heading 3"/>
    <w:basedOn w:val="a"/>
    <w:next w:val="a"/>
    <w:rsid w:val="00CC523E"/>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CC523E"/>
    <w:pPr>
      <w:jc w:val="left"/>
    </w:pPr>
  </w:style>
  <w:style w:type="paragraph" w:styleId="5">
    <w:name w:val="toc 5"/>
    <w:basedOn w:val="a"/>
    <w:next w:val="a"/>
    <w:rsid w:val="00CC523E"/>
    <w:pPr>
      <w:ind w:left="1680"/>
    </w:pPr>
  </w:style>
  <w:style w:type="paragraph" w:styleId="30">
    <w:name w:val="toc 3"/>
    <w:basedOn w:val="a"/>
    <w:next w:val="a"/>
    <w:rsid w:val="00CC523E"/>
    <w:pPr>
      <w:ind w:left="840"/>
    </w:pPr>
  </w:style>
  <w:style w:type="paragraph" w:styleId="a4">
    <w:name w:val="Balloon Text"/>
    <w:basedOn w:val="a"/>
    <w:rsid w:val="00CC523E"/>
    <w:rPr>
      <w:sz w:val="18"/>
      <w:szCs w:val="18"/>
    </w:rPr>
  </w:style>
  <w:style w:type="paragraph" w:styleId="a5">
    <w:name w:val="footer"/>
    <w:basedOn w:val="a"/>
    <w:rsid w:val="00CC523E"/>
    <w:pPr>
      <w:tabs>
        <w:tab w:val="center" w:pos="4153"/>
        <w:tab w:val="right" w:pos="8306"/>
      </w:tabs>
      <w:snapToGrid w:val="0"/>
      <w:jc w:val="left"/>
    </w:pPr>
    <w:rPr>
      <w:sz w:val="18"/>
      <w:szCs w:val="18"/>
    </w:rPr>
  </w:style>
  <w:style w:type="paragraph" w:styleId="a6">
    <w:name w:val="header"/>
    <w:basedOn w:val="a"/>
    <w:rsid w:val="00CC523E"/>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CC523E"/>
  </w:style>
  <w:style w:type="paragraph" w:styleId="4">
    <w:name w:val="toc 4"/>
    <w:basedOn w:val="a"/>
    <w:next w:val="a"/>
    <w:qFormat/>
    <w:rsid w:val="00CC523E"/>
    <w:pPr>
      <w:ind w:left="1260"/>
    </w:pPr>
  </w:style>
  <w:style w:type="paragraph" w:styleId="20">
    <w:name w:val="toc 2"/>
    <w:basedOn w:val="a"/>
    <w:next w:val="a"/>
    <w:rsid w:val="00CC523E"/>
    <w:pPr>
      <w:ind w:left="420"/>
    </w:pPr>
  </w:style>
  <w:style w:type="paragraph" w:styleId="a7">
    <w:name w:val="annotation subject"/>
    <w:basedOn w:val="a3"/>
    <w:next w:val="a3"/>
    <w:rsid w:val="00CC523E"/>
    <w:rPr>
      <w:b/>
      <w:bCs/>
    </w:rPr>
  </w:style>
  <w:style w:type="character" w:styleId="a8">
    <w:name w:val="Hyperlink"/>
    <w:basedOn w:val="a0"/>
    <w:rsid w:val="00CC523E"/>
    <w:rPr>
      <w:color w:val="0563C1"/>
      <w:u w:val="single"/>
    </w:rPr>
  </w:style>
  <w:style w:type="character" w:styleId="a9">
    <w:name w:val="annotation reference"/>
    <w:basedOn w:val="a0"/>
    <w:rsid w:val="00CC523E"/>
    <w:rPr>
      <w:sz w:val="21"/>
      <w:szCs w:val="21"/>
    </w:rPr>
  </w:style>
  <w:style w:type="paragraph" w:customStyle="1" w:styleId="CM5">
    <w:name w:val="CM5"/>
    <w:basedOn w:val="a"/>
    <w:next w:val="a"/>
    <w:qFormat/>
    <w:rsid w:val="00CC523E"/>
    <w:pPr>
      <w:autoSpaceDE w:val="0"/>
      <w:autoSpaceDN w:val="0"/>
      <w:adjustRightInd w:val="0"/>
      <w:jc w:val="left"/>
    </w:pPr>
    <w:rPr>
      <w:rFonts w:ascii="宋体"/>
      <w:kern w:val="0"/>
      <w:sz w:val="24"/>
      <w:szCs w:val="24"/>
    </w:rPr>
  </w:style>
  <w:style w:type="paragraph" w:customStyle="1" w:styleId="CM6">
    <w:name w:val="CM6"/>
    <w:basedOn w:val="a"/>
    <w:next w:val="a"/>
    <w:rsid w:val="00CC523E"/>
    <w:pPr>
      <w:autoSpaceDE w:val="0"/>
      <w:autoSpaceDN w:val="0"/>
      <w:adjustRightInd w:val="0"/>
      <w:jc w:val="left"/>
    </w:pPr>
    <w:rPr>
      <w:rFonts w:ascii="宋体"/>
      <w:kern w:val="0"/>
      <w:sz w:val="24"/>
      <w:szCs w:val="24"/>
    </w:rPr>
  </w:style>
  <w:style w:type="paragraph" w:styleId="aa">
    <w:name w:val="List Paragraph"/>
    <w:basedOn w:val="a"/>
    <w:rsid w:val="00CC523E"/>
    <w:pPr>
      <w:ind w:firstLineChars="200" w:firstLine="200"/>
    </w:pPr>
  </w:style>
  <w:style w:type="paragraph" w:customStyle="1" w:styleId="CM1">
    <w:name w:val="CM1"/>
    <w:basedOn w:val="a"/>
    <w:next w:val="a"/>
    <w:rsid w:val="00CC523E"/>
    <w:pPr>
      <w:autoSpaceDE w:val="0"/>
      <w:autoSpaceDN w:val="0"/>
      <w:adjustRightInd w:val="0"/>
      <w:spacing w:line="468" w:lineRule="atLeast"/>
      <w:jc w:val="left"/>
    </w:pPr>
    <w:rPr>
      <w:rFonts w:ascii="宋体"/>
      <w:kern w:val="0"/>
      <w:sz w:val="24"/>
      <w:szCs w:val="24"/>
    </w:rPr>
  </w:style>
  <w:style w:type="paragraph" w:customStyle="1" w:styleId="Default">
    <w:name w:val="Default"/>
    <w:rsid w:val="00CC523E"/>
    <w:pPr>
      <w:widowControl w:val="0"/>
      <w:autoSpaceDE w:val="0"/>
      <w:autoSpaceDN w:val="0"/>
      <w:adjustRightInd w:val="0"/>
    </w:pPr>
    <w:rPr>
      <w:rFonts w:ascii="宋体" w:cs="宋体"/>
      <w:color w:val="000000"/>
      <w:sz w:val="24"/>
      <w:szCs w:val="24"/>
    </w:rPr>
  </w:style>
  <w:style w:type="paragraph" w:customStyle="1" w:styleId="CM2">
    <w:name w:val="CM2"/>
    <w:basedOn w:val="Default"/>
    <w:next w:val="Default"/>
    <w:rsid w:val="00CC523E"/>
    <w:pPr>
      <w:spacing w:line="468" w:lineRule="atLeast"/>
    </w:pPr>
    <w:rPr>
      <w:rFonts w:cs="Arial"/>
      <w:color w:val="auto"/>
    </w:rPr>
  </w:style>
  <w:style w:type="paragraph" w:customStyle="1" w:styleId="CM3">
    <w:name w:val="CM3"/>
    <w:basedOn w:val="Default"/>
    <w:next w:val="Default"/>
    <w:rsid w:val="00CC523E"/>
    <w:rPr>
      <w:rFonts w:cs="Arial"/>
      <w:color w:val="auto"/>
    </w:rPr>
  </w:style>
  <w:style w:type="paragraph" w:customStyle="1" w:styleId="CM4">
    <w:name w:val="CM4"/>
    <w:basedOn w:val="Default"/>
    <w:next w:val="Default"/>
    <w:rsid w:val="00CC523E"/>
    <w:pPr>
      <w:spacing w:line="468" w:lineRule="atLeast"/>
    </w:pPr>
    <w:rPr>
      <w:rFonts w:cs="Arial"/>
      <w:color w:val="auto"/>
    </w:rPr>
  </w:style>
  <w:style w:type="character" w:customStyle="1" w:styleId="font31">
    <w:name w:val="font31"/>
    <w:basedOn w:val="a0"/>
    <w:rsid w:val="00CC523E"/>
    <w:rPr>
      <w:rFonts w:ascii="宋体" w:eastAsia="宋体" w:cs="宋体"/>
      <w:color w:val="000000"/>
      <w:sz w:val="20"/>
      <w:szCs w:val="20"/>
      <w:u w:val="none"/>
    </w:rPr>
  </w:style>
  <w:style w:type="paragraph" w:customStyle="1" w:styleId="11">
    <w:name w:val="修订1"/>
    <w:rsid w:val="00CC523E"/>
    <w:rPr>
      <w:rFonts w:ascii="Calibri" w:hAnsi="Calibri" w:cs="Arial"/>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3033</Characters>
  <Application>Microsoft Office Word</Application>
  <DocSecurity>4</DocSecurity>
  <Lines>25</Lines>
  <Paragraphs>7</Paragraphs>
  <ScaleCrop>false</ScaleCrop>
  <Company>CNSTOCK</Company>
  <LinksUpToDate>false</LinksUpToDate>
  <CharactersWithSpaces>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任禾佳</dc:creator>
  <cp:lastModifiedBy>ZHONGM</cp:lastModifiedBy>
  <cp:revision>2</cp:revision>
  <cp:lastPrinted>2022-07-07T04:52:00Z</cp:lastPrinted>
  <dcterms:created xsi:type="dcterms:W3CDTF">2025-07-27T16:01:00Z</dcterms:created>
  <dcterms:modified xsi:type="dcterms:W3CDTF">2025-07-27T16:01:00Z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E8A351E8D7B444B1BB3EFCCC6CB16DC8</vt:lpwstr>
  </property>
</Properties>
</file>