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7A2" w:rsidRDefault="002545B5">
      <w:pPr>
        <w:spacing w:line="360" w:lineRule="auto"/>
        <w:jc w:val="center"/>
        <w:rPr>
          <w:b/>
          <w:sz w:val="28"/>
          <w:szCs w:val="28"/>
        </w:rPr>
      </w:pPr>
      <w:bookmarkStart w:id="0" w:name="_Hlk522115331"/>
      <w:r>
        <w:rPr>
          <w:rFonts w:hint="eastAsia"/>
          <w:b/>
          <w:sz w:val="28"/>
          <w:szCs w:val="28"/>
        </w:rPr>
        <w:t>安信基金管理有限责任公司关于安信新能源主题股票型发起式证券投资基金基金合同终止及基金财产清算的公告</w:t>
      </w:r>
      <w:bookmarkEnd w:id="0"/>
    </w:p>
    <w:p w:rsidR="005447A2" w:rsidRDefault="002545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中华人民共和国证券投资基金法》、《公开募集证券投资基金运作管理办法》、《安信新能源主题股票型发起式证券投资基金基金合同》（以下简称“《基金合同》”）的有关规定，安信新能源主题股票型发起式证券投资基金（以下简称“本基金”）出现了基金合同终止事由，安信基金管理有限责任公司（以下简称“本基金管理人”）应当在上述终止事由出现后依法对基金财产进行清算，且本次事项无需召开基金份额持有人大会。现将相关事项公告如下：</w:t>
      </w:r>
    </w:p>
    <w:p w:rsidR="005447A2" w:rsidRDefault="002545B5">
      <w:pPr>
        <w:pStyle w:val="Default"/>
        <w:spacing w:line="360" w:lineRule="auto"/>
        <w:ind w:firstLineChars="200" w:firstLine="482"/>
        <w:jc w:val="both"/>
        <w:rPr>
          <w:rFonts w:hAnsi="Calibri"/>
          <w:b/>
        </w:rPr>
      </w:pPr>
      <w:r>
        <w:rPr>
          <w:rFonts w:hAnsi="Calibri" w:hint="eastAsia"/>
          <w:b/>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7"/>
        <w:gridCol w:w="2999"/>
        <w:gridCol w:w="3000"/>
      </w:tblGrid>
      <w:tr w:rsidR="005447A2">
        <w:trPr>
          <w:jc w:val="center"/>
        </w:trPr>
        <w:tc>
          <w:tcPr>
            <w:tcW w:w="3357" w:type="dxa"/>
          </w:tcPr>
          <w:p w:rsidR="005447A2" w:rsidRDefault="002545B5">
            <w:pPr>
              <w:spacing w:line="360" w:lineRule="auto"/>
              <w:rPr>
                <w:rFonts w:asciiTheme="minorEastAsia" w:hAnsiTheme="minorEastAsia" w:cs="Arial"/>
                <w:sz w:val="24"/>
                <w:szCs w:val="24"/>
              </w:rPr>
            </w:pPr>
            <w:r>
              <w:rPr>
                <w:rFonts w:asciiTheme="minorEastAsia" w:hAnsiTheme="minorEastAsia" w:cs="Arial"/>
                <w:sz w:val="24"/>
                <w:szCs w:val="24"/>
              </w:rPr>
              <w:t>基金名称</w:t>
            </w:r>
          </w:p>
        </w:tc>
        <w:tc>
          <w:tcPr>
            <w:tcW w:w="5999" w:type="dxa"/>
            <w:gridSpan w:val="2"/>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安信新能源主题股票型发起式证券投资基金</w:t>
            </w:r>
          </w:p>
        </w:tc>
      </w:tr>
      <w:tr w:rsidR="005447A2">
        <w:trPr>
          <w:jc w:val="center"/>
        </w:trPr>
        <w:tc>
          <w:tcPr>
            <w:tcW w:w="3357" w:type="dxa"/>
          </w:tcPr>
          <w:p w:rsidR="005447A2" w:rsidRDefault="002545B5">
            <w:pPr>
              <w:spacing w:line="360" w:lineRule="auto"/>
              <w:rPr>
                <w:rFonts w:asciiTheme="minorEastAsia" w:hAnsiTheme="minorEastAsia" w:cs="Arial"/>
                <w:sz w:val="24"/>
                <w:szCs w:val="24"/>
              </w:rPr>
            </w:pPr>
            <w:r>
              <w:rPr>
                <w:rFonts w:asciiTheme="minorEastAsia" w:hAnsiTheme="minorEastAsia" w:cs="Arial"/>
                <w:sz w:val="24"/>
                <w:szCs w:val="24"/>
              </w:rPr>
              <w:t>基金简称</w:t>
            </w:r>
          </w:p>
        </w:tc>
        <w:tc>
          <w:tcPr>
            <w:tcW w:w="5999" w:type="dxa"/>
            <w:gridSpan w:val="2"/>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安信新能源主题股票型发起</w:t>
            </w:r>
          </w:p>
        </w:tc>
      </w:tr>
      <w:tr w:rsidR="005447A2">
        <w:trPr>
          <w:jc w:val="center"/>
        </w:trPr>
        <w:tc>
          <w:tcPr>
            <w:tcW w:w="3357" w:type="dxa"/>
          </w:tcPr>
          <w:p w:rsidR="005447A2" w:rsidRDefault="002545B5">
            <w:pPr>
              <w:spacing w:line="360" w:lineRule="auto"/>
              <w:rPr>
                <w:rFonts w:asciiTheme="minorEastAsia" w:hAnsiTheme="minorEastAsia" w:cs="Arial"/>
                <w:sz w:val="24"/>
                <w:szCs w:val="24"/>
              </w:rPr>
            </w:pPr>
            <w:r>
              <w:rPr>
                <w:rFonts w:asciiTheme="minorEastAsia" w:hAnsiTheme="minorEastAsia" w:cs="Arial"/>
                <w:sz w:val="24"/>
                <w:szCs w:val="24"/>
              </w:rPr>
              <w:t>基金主代码</w:t>
            </w:r>
          </w:p>
        </w:tc>
        <w:tc>
          <w:tcPr>
            <w:tcW w:w="5999" w:type="dxa"/>
            <w:gridSpan w:val="2"/>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015707</w:t>
            </w:r>
          </w:p>
        </w:tc>
      </w:tr>
      <w:tr w:rsidR="005447A2">
        <w:trPr>
          <w:jc w:val="center"/>
        </w:trPr>
        <w:tc>
          <w:tcPr>
            <w:tcW w:w="3357" w:type="dxa"/>
          </w:tcPr>
          <w:p w:rsidR="005447A2" w:rsidRDefault="002545B5">
            <w:pPr>
              <w:spacing w:line="360" w:lineRule="auto"/>
              <w:rPr>
                <w:rFonts w:asciiTheme="minorEastAsia" w:hAnsiTheme="minorEastAsia" w:cs="Arial"/>
                <w:sz w:val="24"/>
                <w:szCs w:val="24"/>
              </w:rPr>
            </w:pPr>
            <w:r>
              <w:rPr>
                <w:rFonts w:asciiTheme="minorEastAsia" w:hAnsiTheme="minorEastAsia" w:cs="Arial"/>
                <w:sz w:val="24"/>
                <w:szCs w:val="24"/>
              </w:rPr>
              <w:t>基金运作方式</w:t>
            </w:r>
          </w:p>
        </w:tc>
        <w:tc>
          <w:tcPr>
            <w:tcW w:w="5999" w:type="dxa"/>
            <w:gridSpan w:val="2"/>
          </w:tcPr>
          <w:p w:rsidR="005447A2" w:rsidRDefault="002545B5">
            <w:pPr>
              <w:spacing w:line="360" w:lineRule="auto"/>
              <w:rPr>
                <w:rFonts w:asciiTheme="minorEastAsia" w:hAnsiTheme="minorEastAsia" w:cs="Arial"/>
                <w:sz w:val="24"/>
                <w:szCs w:val="24"/>
              </w:rPr>
            </w:pPr>
            <w:r>
              <w:rPr>
                <w:rFonts w:asciiTheme="minorEastAsia" w:hAnsiTheme="minorEastAsia" w:cs="Arial"/>
                <w:sz w:val="24"/>
                <w:szCs w:val="24"/>
              </w:rPr>
              <w:t>契约型开放式</w:t>
            </w:r>
          </w:p>
        </w:tc>
      </w:tr>
      <w:tr w:rsidR="005447A2">
        <w:trPr>
          <w:jc w:val="center"/>
        </w:trPr>
        <w:tc>
          <w:tcPr>
            <w:tcW w:w="3357" w:type="dxa"/>
          </w:tcPr>
          <w:p w:rsidR="005447A2" w:rsidRDefault="002545B5">
            <w:pPr>
              <w:spacing w:line="360" w:lineRule="auto"/>
              <w:rPr>
                <w:rFonts w:asciiTheme="minorEastAsia" w:hAnsiTheme="minorEastAsia" w:cs="Arial"/>
                <w:sz w:val="24"/>
                <w:szCs w:val="24"/>
              </w:rPr>
            </w:pPr>
            <w:r>
              <w:rPr>
                <w:rFonts w:asciiTheme="minorEastAsia" w:hAnsiTheme="minorEastAsia" w:cs="Arial"/>
                <w:sz w:val="24"/>
                <w:szCs w:val="24"/>
              </w:rPr>
              <w:t>基金合同生效日</w:t>
            </w:r>
          </w:p>
        </w:tc>
        <w:tc>
          <w:tcPr>
            <w:tcW w:w="5999" w:type="dxa"/>
            <w:gridSpan w:val="2"/>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2022</w:t>
            </w:r>
            <w:r>
              <w:rPr>
                <w:rFonts w:asciiTheme="minorEastAsia" w:hAnsiTheme="minorEastAsia" w:cs="Arial" w:hint="eastAsia"/>
                <w:sz w:val="24"/>
                <w:szCs w:val="24"/>
              </w:rPr>
              <w:t>年</w:t>
            </w:r>
            <w:r>
              <w:rPr>
                <w:rFonts w:asciiTheme="minorEastAsia" w:hAnsiTheme="minorEastAsia" w:cs="Arial" w:hint="eastAsia"/>
                <w:sz w:val="24"/>
                <w:szCs w:val="24"/>
              </w:rPr>
              <w:t>7</w:t>
            </w:r>
            <w:r>
              <w:rPr>
                <w:rFonts w:asciiTheme="minorEastAsia" w:hAnsiTheme="minorEastAsia" w:cs="Arial" w:hint="eastAsia"/>
                <w:sz w:val="24"/>
                <w:szCs w:val="24"/>
              </w:rPr>
              <w:t>月</w:t>
            </w:r>
            <w:r>
              <w:rPr>
                <w:rFonts w:asciiTheme="minorEastAsia" w:hAnsiTheme="minorEastAsia" w:cs="Arial" w:hint="eastAsia"/>
                <w:sz w:val="24"/>
                <w:szCs w:val="24"/>
              </w:rPr>
              <w:t>26</w:t>
            </w:r>
            <w:r>
              <w:rPr>
                <w:rFonts w:asciiTheme="minorEastAsia" w:hAnsiTheme="minorEastAsia" w:cs="Arial" w:hint="eastAsia"/>
                <w:sz w:val="24"/>
                <w:szCs w:val="24"/>
              </w:rPr>
              <w:t>日</w:t>
            </w:r>
          </w:p>
        </w:tc>
      </w:tr>
      <w:tr w:rsidR="005447A2">
        <w:trPr>
          <w:jc w:val="center"/>
        </w:trPr>
        <w:tc>
          <w:tcPr>
            <w:tcW w:w="3357" w:type="dxa"/>
          </w:tcPr>
          <w:p w:rsidR="005447A2" w:rsidRDefault="002545B5">
            <w:pPr>
              <w:spacing w:line="360" w:lineRule="auto"/>
              <w:rPr>
                <w:rFonts w:asciiTheme="minorEastAsia" w:hAnsiTheme="minorEastAsia" w:cs="Arial"/>
                <w:sz w:val="24"/>
                <w:szCs w:val="24"/>
              </w:rPr>
            </w:pPr>
            <w:r>
              <w:rPr>
                <w:rFonts w:asciiTheme="minorEastAsia" w:hAnsiTheme="minorEastAsia" w:cs="Arial"/>
                <w:sz w:val="24"/>
                <w:szCs w:val="24"/>
              </w:rPr>
              <w:t>基金管理人名称</w:t>
            </w:r>
          </w:p>
        </w:tc>
        <w:tc>
          <w:tcPr>
            <w:tcW w:w="5999" w:type="dxa"/>
            <w:gridSpan w:val="2"/>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安信</w:t>
            </w:r>
            <w:r>
              <w:rPr>
                <w:rFonts w:asciiTheme="minorEastAsia" w:hAnsiTheme="minorEastAsia" w:cs="Arial"/>
                <w:sz w:val="24"/>
                <w:szCs w:val="24"/>
              </w:rPr>
              <w:t>基金管理有限</w:t>
            </w:r>
            <w:r>
              <w:rPr>
                <w:rFonts w:asciiTheme="minorEastAsia" w:hAnsiTheme="minorEastAsia" w:cs="Arial" w:hint="eastAsia"/>
                <w:sz w:val="24"/>
                <w:szCs w:val="24"/>
              </w:rPr>
              <w:t>责任</w:t>
            </w:r>
            <w:r>
              <w:rPr>
                <w:rFonts w:asciiTheme="minorEastAsia" w:hAnsiTheme="minorEastAsia" w:cs="Arial"/>
                <w:sz w:val="24"/>
                <w:szCs w:val="24"/>
              </w:rPr>
              <w:t>公司</w:t>
            </w:r>
          </w:p>
        </w:tc>
      </w:tr>
      <w:tr w:rsidR="005447A2">
        <w:trPr>
          <w:jc w:val="center"/>
        </w:trPr>
        <w:tc>
          <w:tcPr>
            <w:tcW w:w="3357" w:type="dxa"/>
          </w:tcPr>
          <w:p w:rsidR="005447A2" w:rsidRDefault="002545B5">
            <w:pPr>
              <w:spacing w:line="360" w:lineRule="auto"/>
              <w:rPr>
                <w:rFonts w:asciiTheme="minorEastAsia" w:hAnsiTheme="minorEastAsia" w:cs="Arial"/>
                <w:sz w:val="24"/>
                <w:szCs w:val="24"/>
              </w:rPr>
            </w:pPr>
            <w:r>
              <w:rPr>
                <w:rFonts w:asciiTheme="minorEastAsia" w:hAnsiTheme="minorEastAsia" w:cs="Arial"/>
                <w:sz w:val="24"/>
                <w:szCs w:val="24"/>
              </w:rPr>
              <w:t>基金托管人名称</w:t>
            </w:r>
          </w:p>
        </w:tc>
        <w:tc>
          <w:tcPr>
            <w:tcW w:w="5999" w:type="dxa"/>
            <w:gridSpan w:val="2"/>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招商</w:t>
            </w:r>
            <w:r>
              <w:rPr>
                <w:rFonts w:asciiTheme="minorEastAsia" w:hAnsiTheme="minorEastAsia" w:cs="Arial" w:hint="eastAsia"/>
                <w:sz w:val="24"/>
                <w:szCs w:val="24"/>
              </w:rPr>
              <w:t>银行股份有限公司</w:t>
            </w:r>
          </w:p>
        </w:tc>
      </w:tr>
      <w:tr w:rsidR="005447A2">
        <w:trPr>
          <w:jc w:val="center"/>
        </w:trPr>
        <w:tc>
          <w:tcPr>
            <w:tcW w:w="3357" w:type="dxa"/>
          </w:tcPr>
          <w:p w:rsidR="005447A2" w:rsidRDefault="002545B5">
            <w:pPr>
              <w:spacing w:line="360" w:lineRule="auto"/>
              <w:rPr>
                <w:rFonts w:asciiTheme="minorEastAsia" w:hAnsiTheme="minorEastAsia" w:cs="Arial"/>
                <w:sz w:val="24"/>
                <w:szCs w:val="24"/>
              </w:rPr>
            </w:pPr>
            <w:r>
              <w:rPr>
                <w:rFonts w:ascii="宋体" w:hAnsi="宋体" w:cs="Arial"/>
                <w:sz w:val="24"/>
                <w:szCs w:val="24"/>
              </w:rPr>
              <w:t>基金登记机构名称</w:t>
            </w:r>
          </w:p>
        </w:tc>
        <w:tc>
          <w:tcPr>
            <w:tcW w:w="5999" w:type="dxa"/>
            <w:gridSpan w:val="2"/>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安信</w:t>
            </w:r>
            <w:r>
              <w:rPr>
                <w:rFonts w:asciiTheme="minorEastAsia" w:hAnsiTheme="minorEastAsia" w:cs="Arial"/>
                <w:sz w:val="24"/>
                <w:szCs w:val="24"/>
              </w:rPr>
              <w:t>基金管理有限</w:t>
            </w:r>
            <w:r>
              <w:rPr>
                <w:rFonts w:asciiTheme="minorEastAsia" w:hAnsiTheme="minorEastAsia" w:cs="Arial" w:hint="eastAsia"/>
                <w:sz w:val="24"/>
                <w:szCs w:val="24"/>
              </w:rPr>
              <w:t>责任</w:t>
            </w:r>
            <w:r>
              <w:rPr>
                <w:rFonts w:asciiTheme="minorEastAsia" w:hAnsiTheme="minorEastAsia" w:cs="Arial"/>
                <w:sz w:val="24"/>
                <w:szCs w:val="24"/>
              </w:rPr>
              <w:t>公司</w:t>
            </w:r>
          </w:p>
        </w:tc>
      </w:tr>
      <w:tr w:rsidR="005447A2">
        <w:trPr>
          <w:jc w:val="center"/>
        </w:trPr>
        <w:tc>
          <w:tcPr>
            <w:tcW w:w="3357" w:type="dxa"/>
          </w:tcPr>
          <w:p w:rsidR="005447A2" w:rsidRDefault="002545B5">
            <w:pPr>
              <w:spacing w:line="360" w:lineRule="auto"/>
              <w:rPr>
                <w:rFonts w:ascii="宋体" w:hAnsi="宋体" w:cs="Arial"/>
                <w:sz w:val="24"/>
                <w:szCs w:val="24"/>
              </w:rPr>
            </w:pPr>
            <w:r>
              <w:rPr>
                <w:rFonts w:ascii="宋体" w:hAnsi="宋体" w:cs="Arial" w:hint="eastAsia"/>
                <w:sz w:val="24"/>
                <w:szCs w:val="24"/>
              </w:rPr>
              <w:t>公告依据</w:t>
            </w:r>
          </w:p>
        </w:tc>
        <w:tc>
          <w:tcPr>
            <w:tcW w:w="5999" w:type="dxa"/>
            <w:gridSpan w:val="2"/>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《中华人民共和国证券投资基金法》、《公开募集证券投资基金运作管理办法》、《公开募集证券投资基金信息披露</w:t>
            </w:r>
            <w:bookmarkStart w:id="1" w:name="_GoBack"/>
            <w:bookmarkEnd w:id="1"/>
            <w:r>
              <w:rPr>
                <w:rFonts w:asciiTheme="minorEastAsia" w:hAnsiTheme="minorEastAsia" w:cs="Arial" w:hint="eastAsia"/>
                <w:sz w:val="24"/>
                <w:szCs w:val="24"/>
              </w:rPr>
              <w:t>管理办法》、《</w:t>
            </w:r>
            <w:r>
              <w:rPr>
                <w:rFonts w:asciiTheme="minorEastAsia" w:hAnsiTheme="minorEastAsia" w:cs="Arial" w:hint="eastAsia"/>
                <w:sz w:val="24"/>
                <w:szCs w:val="24"/>
              </w:rPr>
              <w:t>安信新能源主题股票型发起式证券投资基金</w:t>
            </w:r>
            <w:r>
              <w:rPr>
                <w:rFonts w:asciiTheme="minorEastAsia" w:hAnsiTheme="minorEastAsia" w:cs="Arial" w:hint="eastAsia"/>
                <w:sz w:val="24"/>
                <w:szCs w:val="24"/>
              </w:rPr>
              <w:t>基金合同》、《</w:t>
            </w:r>
            <w:r>
              <w:rPr>
                <w:rFonts w:asciiTheme="minorEastAsia" w:hAnsiTheme="minorEastAsia" w:cs="Arial" w:hint="eastAsia"/>
                <w:sz w:val="24"/>
                <w:szCs w:val="24"/>
              </w:rPr>
              <w:t>安信新能源主题股票型发起式证券投资基金</w:t>
            </w:r>
            <w:r>
              <w:rPr>
                <w:rFonts w:asciiTheme="minorEastAsia" w:hAnsiTheme="minorEastAsia" w:cs="Arial" w:hint="eastAsia"/>
                <w:sz w:val="24"/>
                <w:szCs w:val="24"/>
              </w:rPr>
              <w:t>招募说明书》及相关公告</w:t>
            </w:r>
          </w:p>
        </w:tc>
      </w:tr>
      <w:tr w:rsidR="005447A2">
        <w:trPr>
          <w:jc w:val="center"/>
        </w:trPr>
        <w:tc>
          <w:tcPr>
            <w:tcW w:w="3357" w:type="dxa"/>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下属分级基金的基金简称</w:t>
            </w:r>
          </w:p>
        </w:tc>
        <w:tc>
          <w:tcPr>
            <w:tcW w:w="2999" w:type="dxa"/>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安信新能源主题股票型发起</w:t>
            </w:r>
            <w:r>
              <w:rPr>
                <w:rFonts w:asciiTheme="minorEastAsia" w:hAnsiTheme="minorEastAsia" w:cs="Arial" w:hint="eastAsia"/>
                <w:sz w:val="24"/>
                <w:szCs w:val="24"/>
              </w:rPr>
              <w:t>A</w:t>
            </w:r>
          </w:p>
        </w:tc>
        <w:tc>
          <w:tcPr>
            <w:tcW w:w="3000" w:type="dxa"/>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安信新能源主题股票型发起</w:t>
            </w:r>
            <w:r>
              <w:rPr>
                <w:rFonts w:asciiTheme="minorEastAsia" w:hAnsiTheme="minorEastAsia" w:cs="Arial" w:hint="eastAsia"/>
                <w:sz w:val="24"/>
                <w:szCs w:val="24"/>
              </w:rPr>
              <w:t>C</w:t>
            </w:r>
          </w:p>
        </w:tc>
      </w:tr>
      <w:tr w:rsidR="005447A2">
        <w:trPr>
          <w:jc w:val="center"/>
        </w:trPr>
        <w:tc>
          <w:tcPr>
            <w:tcW w:w="3357" w:type="dxa"/>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下属分级基金的交易代码</w:t>
            </w:r>
          </w:p>
        </w:tc>
        <w:tc>
          <w:tcPr>
            <w:tcW w:w="2999" w:type="dxa"/>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015707</w:t>
            </w:r>
          </w:p>
        </w:tc>
        <w:tc>
          <w:tcPr>
            <w:tcW w:w="3000" w:type="dxa"/>
          </w:tcPr>
          <w:p w:rsidR="005447A2" w:rsidRDefault="002545B5">
            <w:pPr>
              <w:spacing w:line="360" w:lineRule="auto"/>
              <w:rPr>
                <w:rFonts w:asciiTheme="minorEastAsia" w:hAnsiTheme="minorEastAsia" w:cs="Arial"/>
                <w:sz w:val="24"/>
                <w:szCs w:val="24"/>
              </w:rPr>
            </w:pPr>
            <w:r>
              <w:rPr>
                <w:rFonts w:asciiTheme="minorEastAsia" w:hAnsiTheme="minorEastAsia" w:cs="Arial" w:hint="eastAsia"/>
                <w:sz w:val="24"/>
                <w:szCs w:val="24"/>
              </w:rPr>
              <w:t>015708</w:t>
            </w:r>
          </w:p>
        </w:tc>
      </w:tr>
    </w:tbl>
    <w:p w:rsidR="005447A2" w:rsidRDefault="005447A2">
      <w:pPr>
        <w:pStyle w:val="Default"/>
        <w:spacing w:line="360" w:lineRule="auto"/>
        <w:ind w:firstLineChars="200" w:firstLine="482"/>
        <w:jc w:val="both"/>
        <w:rPr>
          <w:rFonts w:hAnsi="Calibri"/>
          <w:b/>
        </w:rPr>
      </w:pPr>
    </w:p>
    <w:p w:rsidR="005447A2" w:rsidRDefault="002545B5">
      <w:pPr>
        <w:pStyle w:val="Default"/>
        <w:spacing w:line="360" w:lineRule="auto"/>
        <w:ind w:firstLineChars="200" w:firstLine="482"/>
        <w:jc w:val="both"/>
        <w:rPr>
          <w:rFonts w:hAnsi="Calibri"/>
          <w:b/>
        </w:rPr>
      </w:pPr>
      <w:r>
        <w:rPr>
          <w:rFonts w:hAnsi="Calibri" w:hint="eastAsia"/>
          <w:b/>
        </w:rPr>
        <w:t>二、基金合同终止事由</w:t>
      </w:r>
    </w:p>
    <w:p w:rsidR="005447A2" w:rsidRDefault="002545B5">
      <w:pPr>
        <w:pStyle w:val="Default"/>
        <w:spacing w:line="360" w:lineRule="auto"/>
        <w:ind w:firstLineChars="200" w:firstLine="480"/>
        <w:jc w:val="both"/>
        <w:rPr>
          <w:rFonts w:asciiTheme="minorEastAsia" w:eastAsiaTheme="minorEastAsia" w:hAnsiTheme="minorEastAsia" w:cstheme="minorBidi"/>
          <w:color w:val="auto"/>
          <w:kern w:val="2"/>
        </w:rPr>
      </w:pPr>
      <w:r>
        <w:rPr>
          <w:rFonts w:asciiTheme="minorEastAsia" w:eastAsiaTheme="minorEastAsia" w:hAnsiTheme="minorEastAsia" w:cstheme="minorBidi" w:hint="eastAsia"/>
          <w:color w:val="auto"/>
          <w:kern w:val="2"/>
        </w:rPr>
        <w:t>根据《基金合同》“第五部分</w:t>
      </w:r>
      <w:r>
        <w:rPr>
          <w:rFonts w:asciiTheme="minorEastAsia" w:eastAsiaTheme="minorEastAsia" w:hAnsiTheme="minorEastAsia" w:cstheme="minorBidi" w:hint="eastAsia"/>
          <w:color w:val="auto"/>
          <w:kern w:val="2"/>
        </w:rPr>
        <w:t xml:space="preserve"> </w:t>
      </w:r>
      <w:r>
        <w:rPr>
          <w:rFonts w:asciiTheme="minorEastAsia" w:eastAsiaTheme="minorEastAsia" w:hAnsiTheme="minorEastAsia" w:cstheme="minorBidi" w:hint="eastAsia"/>
          <w:color w:val="auto"/>
          <w:kern w:val="2"/>
        </w:rPr>
        <w:t>基金备案”中“三、基金存续期内的基金份额持有人数量和资产规模”的约定：</w:t>
      </w:r>
    </w:p>
    <w:p w:rsidR="005447A2" w:rsidRDefault="002545B5">
      <w:pPr>
        <w:pStyle w:val="Default"/>
        <w:spacing w:line="360" w:lineRule="auto"/>
        <w:ind w:firstLineChars="200" w:firstLine="480"/>
        <w:jc w:val="both"/>
        <w:rPr>
          <w:rFonts w:asciiTheme="minorEastAsia" w:eastAsiaTheme="minorEastAsia" w:hAnsiTheme="minorEastAsia" w:cstheme="minorBidi"/>
          <w:color w:val="auto"/>
          <w:kern w:val="2"/>
        </w:rPr>
      </w:pPr>
      <w:r>
        <w:rPr>
          <w:rFonts w:asciiTheme="minorEastAsia" w:eastAsiaTheme="minorEastAsia" w:hAnsiTheme="minorEastAsia" w:cstheme="minorBidi" w:hint="eastAsia"/>
          <w:color w:val="auto"/>
          <w:kern w:val="2"/>
        </w:rPr>
        <w:lastRenderedPageBreak/>
        <w:t>“</w:t>
      </w:r>
      <w:r>
        <w:rPr>
          <w:rFonts w:hAnsi="宋体"/>
        </w:rPr>
        <w:t>《基金合同》生效满</w:t>
      </w:r>
      <w:r>
        <w:rPr>
          <w:rFonts w:hAnsi="宋体"/>
        </w:rPr>
        <w:t>3</w:t>
      </w:r>
      <w:r>
        <w:rPr>
          <w:rFonts w:hAnsi="宋体"/>
        </w:rPr>
        <w:t>年后的对应日，若基金资产净值低于</w:t>
      </w:r>
      <w:r>
        <w:rPr>
          <w:rFonts w:hAnsi="宋体"/>
        </w:rPr>
        <w:t>2</w:t>
      </w:r>
      <w:r>
        <w:rPr>
          <w:rFonts w:hAnsi="宋体"/>
        </w:rPr>
        <w:t>亿元的，基金合同自动终止，同时不得通过召开基金份额持有人大会延续基金合同期限。</w:t>
      </w:r>
      <w:r>
        <w:rPr>
          <w:rFonts w:asciiTheme="minorEastAsia" w:eastAsiaTheme="minorEastAsia" w:hAnsiTheme="minorEastAsia" w:cstheme="minorBidi" w:hint="eastAsia"/>
          <w:color w:val="auto"/>
          <w:kern w:val="2"/>
        </w:rPr>
        <w:t>”</w:t>
      </w:r>
    </w:p>
    <w:p w:rsidR="005447A2" w:rsidRDefault="002545B5">
      <w:pPr>
        <w:pStyle w:val="Default"/>
        <w:spacing w:line="360" w:lineRule="auto"/>
        <w:ind w:firstLineChars="200" w:firstLine="480"/>
        <w:jc w:val="both"/>
        <w:rPr>
          <w:rFonts w:asciiTheme="minorEastAsia" w:eastAsiaTheme="minorEastAsia" w:hAnsiTheme="minorEastAsia" w:cstheme="minorBidi"/>
          <w:color w:val="auto"/>
          <w:kern w:val="2"/>
        </w:rPr>
      </w:pPr>
      <w:r>
        <w:rPr>
          <w:rFonts w:asciiTheme="minorEastAsia" w:hAnsiTheme="minorEastAsia" w:hint="eastAsia"/>
        </w:rPr>
        <w:t>截至</w:t>
      </w:r>
      <w:r>
        <w:rPr>
          <w:rFonts w:asciiTheme="minorEastAsia" w:hAnsiTheme="minorEastAsia"/>
        </w:rPr>
        <w:t>2025</w:t>
      </w:r>
      <w:r>
        <w:rPr>
          <w:rFonts w:asciiTheme="minorEastAsia" w:hAnsiTheme="minorEastAsia" w:hint="eastAsia"/>
        </w:rPr>
        <w:t>年</w:t>
      </w:r>
      <w:r>
        <w:rPr>
          <w:rFonts w:asciiTheme="minorEastAsia" w:hAnsiTheme="minorEastAsia" w:hint="eastAsia"/>
        </w:rPr>
        <w:t>7</w:t>
      </w:r>
      <w:r>
        <w:rPr>
          <w:rFonts w:asciiTheme="minorEastAsia" w:hAnsiTheme="minorEastAsia" w:hint="eastAsia"/>
        </w:rPr>
        <w:t>月</w:t>
      </w:r>
      <w:r>
        <w:rPr>
          <w:rFonts w:asciiTheme="minorEastAsia" w:hAnsiTheme="minorEastAsia" w:hint="eastAsia"/>
        </w:rPr>
        <w:t>2</w:t>
      </w:r>
      <w:r>
        <w:rPr>
          <w:rFonts w:asciiTheme="minorEastAsia" w:hAnsiTheme="minorEastAsia" w:hint="eastAsia"/>
        </w:rPr>
        <w:t>6</w:t>
      </w:r>
      <w:r>
        <w:rPr>
          <w:rFonts w:asciiTheme="minorEastAsia" w:hAnsiTheme="minorEastAsia" w:hint="eastAsia"/>
        </w:rPr>
        <w:t>日，</w:t>
      </w:r>
      <w:r>
        <w:rPr>
          <w:rFonts w:asciiTheme="minorEastAsia" w:eastAsiaTheme="minorEastAsia" w:hAnsiTheme="minorEastAsia" w:cstheme="minorBidi" w:hint="eastAsia"/>
          <w:color w:val="auto"/>
          <w:kern w:val="2"/>
        </w:rPr>
        <w:t>本基金基金资产净值低于</w:t>
      </w:r>
      <w:r>
        <w:rPr>
          <w:rFonts w:asciiTheme="minorEastAsia" w:eastAsiaTheme="minorEastAsia" w:hAnsiTheme="minorEastAsia" w:cstheme="minorBidi" w:hint="eastAsia"/>
          <w:color w:val="auto"/>
          <w:kern w:val="2"/>
        </w:rPr>
        <w:t>2</w:t>
      </w:r>
      <w:r>
        <w:rPr>
          <w:rFonts w:asciiTheme="minorEastAsia" w:eastAsiaTheme="minorEastAsia" w:hAnsiTheme="minorEastAsia" w:cstheme="minorBidi" w:hint="eastAsia"/>
          <w:color w:val="auto"/>
          <w:kern w:val="2"/>
        </w:rPr>
        <w:t>亿</w:t>
      </w:r>
      <w:r>
        <w:rPr>
          <w:rFonts w:asciiTheme="minorEastAsia" w:eastAsiaTheme="minorEastAsia" w:hAnsiTheme="minorEastAsia" w:cstheme="minorBidi" w:hint="eastAsia"/>
          <w:color w:val="auto"/>
          <w:kern w:val="2"/>
        </w:rPr>
        <w:t>元</w:t>
      </w:r>
      <w:r>
        <w:rPr>
          <w:rFonts w:asciiTheme="minorEastAsia" w:hAnsiTheme="minorEastAsia" w:hint="eastAsia"/>
        </w:rPr>
        <w:t>，已触发《基金合同》中约定的基金终止条款。根据《基金合同》有关约定，本基金管理人将依据基金财产清算程序对本基金进行财产清算并终止基金合同，且无需召开基金份额持有人大会</w:t>
      </w:r>
      <w:r>
        <w:rPr>
          <w:rFonts w:asciiTheme="minorEastAsia" w:eastAsiaTheme="minorEastAsia" w:hAnsiTheme="minorEastAsia" w:cstheme="minorBidi" w:hint="eastAsia"/>
          <w:color w:val="auto"/>
          <w:kern w:val="2"/>
        </w:rPr>
        <w:t>。</w:t>
      </w:r>
    </w:p>
    <w:p w:rsidR="005447A2" w:rsidRDefault="002545B5">
      <w:pPr>
        <w:pStyle w:val="Default"/>
        <w:spacing w:line="360" w:lineRule="auto"/>
        <w:ind w:firstLineChars="200" w:firstLine="482"/>
        <w:jc w:val="both"/>
        <w:rPr>
          <w:rFonts w:asciiTheme="minorEastAsia" w:hAnsiTheme="minorEastAsia"/>
          <w:b/>
        </w:rPr>
      </w:pPr>
      <w:r>
        <w:rPr>
          <w:rFonts w:hAnsi="Calibri" w:hint="eastAsia"/>
          <w:b/>
        </w:rPr>
        <w:t>三、</w:t>
      </w:r>
      <w:r>
        <w:rPr>
          <w:rFonts w:asciiTheme="minorEastAsia" w:hAnsiTheme="minorEastAsia"/>
          <w:b/>
        </w:rPr>
        <w:t>基金财产清算</w:t>
      </w:r>
    </w:p>
    <w:p w:rsidR="005447A2" w:rsidRDefault="002545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（一）基金</w:t>
      </w:r>
      <w:r>
        <w:rPr>
          <w:rFonts w:asciiTheme="minorEastAsia" w:hAnsiTheme="minorEastAsia"/>
          <w:sz w:val="24"/>
          <w:szCs w:val="24"/>
        </w:rPr>
        <w:t>财产清算安排</w:t>
      </w:r>
    </w:p>
    <w:p w:rsidR="005447A2" w:rsidRDefault="002545B5">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、本基金最后运作日为</w:t>
      </w:r>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7</w:t>
      </w:r>
      <w:r>
        <w:rPr>
          <w:rFonts w:asciiTheme="minorEastAsia" w:hAnsiTheme="minorEastAsia" w:hint="eastAsia"/>
          <w:sz w:val="24"/>
          <w:szCs w:val="24"/>
        </w:rPr>
        <w:t>月</w:t>
      </w:r>
      <w:r>
        <w:rPr>
          <w:rFonts w:asciiTheme="minorEastAsia" w:hAnsiTheme="minorEastAsia" w:hint="eastAsia"/>
          <w:sz w:val="24"/>
          <w:szCs w:val="24"/>
        </w:rPr>
        <w:t>26</w:t>
      </w:r>
      <w:r>
        <w:rPr>
          <w:rFonts w:asciiTheme="minorEastAsia" w:hAnsiTheme="minorEastAsia" w:hint="eastAsia"/>
          <w:sz w:val="24"/>
          <w:szCs w:val="24"/>
        </w:rPr>
        <w:t>日</w:t>
      </w:r>
      <w:r>
        <w:rPr>
          <w:rFonts w:asciiTheme="minorEastAsia" w:hAnsiTheme="minorEastAsia" w:hint="eastAsia"/>
          <w:sz w:val="24"/>
          <w:szCs w:val="24"/>
        </w:rPr>
        <w:t>，自</w:t>
      </w:r>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7</w:t>
      </w:r>
      <w:r>
        <w:rPr>
          <w:rFonts w:asciiTheme="minorEastAsia" w:hAnsiTheme="minorEastAsia" w:hint="eastAsia"/>
          <w:sz w:val="24"/>
          <w:szCs w:val="24"/>
        </w:rPr>
        <w:t>月</w:t>
      </w:r>
      <w:r>
        <w:rPr>
          <w:rFonts w:asciiTheme="minorEastAsia" w:hAnsiTheme="minorEastAsia" w:hint="eastAsia"/>
          <w:sz w:val="24"/>
          <w:szCs w:val="24"/>
        </w:rPr>
        <w:t>27</w:t>
      </w:r>
      <w:r>
        <w:rPr>
          <w:rFonts w:asciiTheme="minorEastAsia" w:hAnsiTheme="minorEastAsia" w:hint="eastAsia"/>
          <w:sz w:val="24"/>
          <w:szCs w:val="24"/>
        </w:rPr>
        <w:t>日</w:t>
      </w:r>
      <w:r>
        <w:rPr>
          <w:rFonts w:asciiTheme="minorEastAsia" w:hAnsiTheme="minorEastAsia" w:hint="eastAsia"/>
          <w:sz w:val="24"/>
          <w:szCs w:val="24"/>
        </w:rPr>
        <w:t>起</w:t>
      </w:r>
      <w:r>
        <w:rPr>
          <w:rFonts w:asciiTheme="minorEastAsia" w:hAnsiTheme="minorEastAsia"/>
          <w:sz w:val="24"/>
          <w:szCs w:val="24"/>
        </w:rPr>
        <w:t>，</w:t>
      </w:r>
      <w:r>
        <w:rPr>
          <w:rFonts w:asciiTheme="minorEastAsia" w:hAnsiTheme="minorEastAsia" w:hint="eastAsia"/>
          <w:sz w:val="24"/>
          <w:szCs w:val="24"/>
        </w:rPr>
        <w:t>本基金</w:t>
      </w:r>
      <w:r>
        <w:rPr>
          <w:rFonts w:asciiTheme="minorEastAsia" w:hAnsiTheme="minorEastAsia"/>
          <w:sz w:val="24"/>
          <w:szCs w:val="24"/>
        </w:rPr>
        <w:t>进入清算程序，本基金进入清算程序后不</w:t>
      </w:r>
      <w:r>
        <w:rPr>
          <w:rFonts w:asciiTheme="minorEastAsia" w:hAnsiTheme="minorEastAsia" w:hint="eastAsia"/>
          <w:sz w:val="24"/>
          <w:szCs w:val="24"/>
        </w:rPr>
        <w:t>再办理申购、赎回、定投、基金转换等业务。本基金进入清算程序后停止收取基金管理费、基金托管费和</w:t>
      </w:r>
      <w:r>
        <w:rPr>
          <w:rFonts w:asciiTheme="minorEastAsia" w:hAnsiTheme="minorEastAsia" w:hint="eastAsia"/>
          <w:sz w:val="24"/>
          <w:szCs w:val="24"/>
        </w:rPr>
        <w:t>C</w:t>
      </w:r>
      <w:r>
        <w:rPr>
          <w:rFonts w:asciiTheme="minorEastAsia" w:hAnsiTheme="minorEastAsia" w:hint="eastAsia"/>
          <w:sz w:val="24"/>
          <w:szCs w:val="24"/>
        </w:rPr>
        <w:t>类基金份额的销售服务费</w:t>
      </w:r>
      <w:r>
        <w:rPr>
          <w:rFonts w:asciiTheme="minorEastAsia" w:hAnsiTheme="minorEastAsia"/>
          <w:sz w:val="24"/>
          <w:szCs w:val="24"/>
        </w:rPr>
        <w:t>。</w:t>
      </w:r>
    </w:p>
    <w:p w:rsidR="005447A2" w:rsidRDefault="002545B5">
      <w:pPr>
        <w:spacing w:line="360" w:lineRule="auto"/>
        <w:ind w:firstLineChars="200" w:firstLine="480"/>
        <w:rPr>
          <w:bCs/>
          <w:sz w:val="24"/>
        </w:rPr>
      </w:pPr>
      <w:r>
        <w:rPr>
          <w:rFonts w:asciiTheme="minorEastAsia" w:hAnsiTheme="minorEastAsia" w:hint="eastAsia"/>
          <w:sz w:val="24"/>
          <w:szCs w:val="24"/>
        </w:rPr>
        <w:t>2</w:t>
      </w:r>
      <w:r>
        <w:rPr>
          <w:rFonts w:asciiTheme="minorEastAsia" w:hAnsiTheme="minorEastAsia" w:hint="eastAsia"/>
          <w:sz w:val="24"/>
          <w:szCs w:val="24"/>
        </w:rPr>
        <w:t>、</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5447A2" w:rsidRDefault="002545B5">
      <w:pPr>
        <w:spacing w:line="360" w:lineRule="auto"/>
        <w:ind w:firstLineChars="200" w:firstLine="480"/>
        <w:rPr>
          <w:bCs/>
          <w:sz w:val="24"/>
        </w:rPr>
      </w:pPr>
      <w:r>
        <w:rPr>
          <w:bCs/>
          <w:sz w:val="24"/>
        </w:rPr>
        <w:t>3</w:t>
      </w:r>
      <w:r>
        <w:rPr>
          <w:bCs/>
          <w:sz w:val="24"/>
        </w:rPr>
        <w:t>、</w:t>
      </w:r>
      <w:r>
        <w:rPr>
          <w:rFonts w:hint="eastAsia"/>
          <w:bCs/>
          <w:sz w:val="24"/>
        </w:rPr>
        <w:t>基金财产清算小组职责：基金财产清算小组负责基金财产的保管、清理、估价、变现和分配。基金财产清算小组可以依法进行必要的民事活动。</w:t>
      </w:r>
    </w:p>
    <w:p w:rsidR="005447A2" w:rsidRDefault="002545B5">
      <w:pPr>
        <w:spacing w:line="360" w:lineRule="auto"/>
        <w:ind w:firstLineChars="200" w:firstLine="480"/>
        <w:rPr>
          <w:bCs/>
          <w:sz w:val="24"/>
        </w:rPr>
      </w:pPr>
      <w:r>
        <w:rPr>
          <w:bCs/>
          <w:sz w:val="24"/>
        </w:rPr>
        <w:t>4</w:t>
      </w:r>
      <w:r>
        <w:rPr>
          <w:bCs/>
          <w:sz w:val="24"/>
        </w:rPr>
        <w:t>、</w:t>
      </w:r>
      <w:r>
        <w:rPr>
          <w:rFonts w:hint="eastAsia"/>
          <w:bCs/>
          <w:sz w:val="24"/>
        </w:rPr>
        <w:t>基金财产清算程序：</w:t>
      </w:r>
    </w:p>
    <w:p w:rsidR="005447A2" w:rsidRDefault="002545B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rsidR="005447A2" w:rsidRDefault="002545B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rsidR="005447A2" w:rsidRDefault="002545B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rsidR="005447A2" w:rsidRDefault="002545B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rsidR="005447A2" w:rsidRDefault="002545B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rsidR="005447A2" w:rsidRDefault="002545B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rsidR="005447A2" w:rsidRDefault="002545B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rsidR="005447A2" w:rsidRDefault="002545B5">
      <w:pPr>
        <w:spacing w:line="360" w:lineRule="auto"/>
        <w:ind w:firstLineChars="200" w:firstLine="480"/>
        <w:rPr>
          <w:bCs/>
          <w:sz w:val="24"/>
        </w:rPr>
      </w:pPr>
      <w:r>
        <w:rPr>
          <w:bCs/>
          <w:sz w:val="24"/>
        </w:rPr>
        <w:t>5</w:t>
      </w:r>
      <w:r>
        <w:rPr>
          <w:bCs/>
          <w:sz w:val="24"/>
        </w:rPr>
        <w:t>、</w:t>
      </w:r>
      <w:r>
        <w:rPr>
          <w:rFonts w:hint="eastAsia"/>
          <w:bCs/>
          <w:sz w:val="24"/>
        </w:rPr>
        <w:t>基金财产清算的期</w:t>
      </w:r>
      <w:r>
        <w:rPr>
          <w:rFonts w:asciiTheme="minorEastAsia" w:hAnsiTheme="minorEastAsia" w:hint="eastAsia"/>
          <w:sz w:val="24"/>
          <w:szCs w:val="24"/>
        </w:rPr>
        <w:t>限为</w:t>
      </w:r>
      <w:r>
        <w:rPr>
          <w:rFonts w:asciiTheme="minorEastAsia" w:hAnsiTheme="minorEastAsia" w:hint="eastAsia"/>
          <w:sz w:val="24"/>
          <w:szCs w:val="24"/>
        </w:rPr>
        <w:t>6</w:t>
      </w:r>
      <w:r>
        <w:rPr>
          <w:rFonts w:asciiTheme="minorEastAsia" w:hAnsiTheme="minorEastAsia" w:hint="eastAsia"/>
          <w:sz w:val="24"/>
          <w:szCs w:val="24"/>
        </w:rPr>
        <w:t>个月，</w:t>
      </w:r>
      <w:r>
        <w:rPr>
          <w:rFonts w:hint="eastAsia"/>
          <w:bCs/>
          <w:sz w:val="24"/>
        </w:rPr>
        <w:t>但因本基金所持证券的流动性受到限制而不能及时变现的，清算期限相应顺延</w:t>
      </w:r>
      <w:r>
        <w:rPr>
          <w:bCs/>
          <w:sz w:val="24"/>
        </w:rPr>
        <w:t>。</w:t>
      </w:r>
    </w:p>
    <w:p w:rsidR="005447A2" w:rsidRDefault="002545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（二）清算</w:t>
      </w:r>
      <w:r>
        <w:rPr>
          <w:rFonts w:asciiTheme="minorEastAsia" w:hAnsiTheme="minorEastAsia"/>
          <w:sz w:val="24"/>
          <w:szCs w:val="24"/>
        </w:rPr>
        <w:t>费用</w:t>
      </w:r>
    </w:p>
    <w:p w:rsidR="005447A2" w:rsidRDefault="002545B5">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清算费用是指基金财产清算小组在进行基金清算过程中发生的所有合理费用，清算费用由基金财产清算小组优先从基金剩余财产中支付。</w:t>
      </w:r>
    </w:p>
    <w:p w:rsidR="005447A2" w:rsidRDefault="002545B5">
      <w:pPr>
        <w:spacing w:line="360" w:lineRule="auto"/>
        <w:ind w:firstLineChars="200" w:firstLine="480"/>
        <w:rPr>
          <w:bCs/>
          <w:sz w:val="24"/>
        </w:rPr>
      </w:pPr>
      <w:r>
        <w:rPr>
          <w:rFonts w:hint="eastAsia"/>
          <w:bCs/>
          <w:sz w:val="24"/>
        </w:rPr>
        <w:t>（三）</w:t>
      </w:r>
      <w:r>
        <w:rPr>
          <w:bCs/>
          <w:sz w:val="24"/>
        </w:rPr>
        <w:t>基金财产清算剩余资产的分配</w:t>
      </w:r>
    </w:p>
    <w:p w:rsidR="005447A2" w:rsidRDefault="002545B5">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5447A2" w:rsidRDefault="002545B5">
      <w:pPr>
        <w:spacing w:line="360" w:lineRule="auto"/>
        <w:ind w:firstLineChars="200" w:firstLine="480"/>
        <w:rPr>
          <w:bCs/>
          <w:sz w:val="24"/>
        </w:rPr>
      </w:pPr>
      <w:r>
        <w:rPr>
          <w:rFonts w:hint="eastAsia"/>
          <w:bCs/>
          <w:sz w:val="24"/>
        </w:rPr>
        <w:t>（四）</w:t>
      </w:r>
      <w:r>
        <w:rPr>
          <w:bCs/>
          <w:sz w:val="24"/>
        </w:rPr>
        <w:t>基金财产清算的公告</w:t>
      </w:r>
    </w:p>
    <w:p w:rsidR="005447A2" w:rsidRDefault="002545B5">
      <w:pPr>
        <w:spacing w:line="360" w:lineRule="auto"/>
        <w:ind w:firstLineChars="200" w:firstLine="480"/>
        <w:rPr>
          <w:bCs/>
          <w:sz w:val="24"/>
        </w:rPr>
      </w:pPr>
      <w:r>
        <w:rPr>
          <w:rFonts w:hint="eastAsia"/>
          <w:bCs/>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Theme="minorEastAsia" w:hAnsiTheme="minorEastAsia" w:cstheme="minorEastAsia"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rsidR="005447A2" w:rsidRDefault="002545B5">
      <w:pPr>
        <w:spacing w:line="360" w:lineRule="auto"/>
        <w:ind w:firstLineChars="200" w:firstLine="480"/>
        <w:rPr>
          <w:bCs/>
          <w:sz w:val="24"/>
        </w:rPr>
      </w:pPr>
      <w:r>
        <w:rPr>
          <w:rFonts w:hint="eastAsia"/>
          <w:bCs/>
          <w:sz w:val="24"/>
        </w:rPr>
        <w:t>（五</w:t>
      </w:r>
      <w:r>
        <w:rPr>
          <w:rFonts w:hint="eastAsia"/>
          <w:bCs/>
          <w:sz w:val="24"/>
        </w:rPr>
        <w:t>）基金财产清算账册及文件的保存</w:t>
      </w:r>
    </w:p>
    <w:p w:rsidR="005447A2" w:rsidRDefault="002545B5">
      <w:pPr>
        <w:spacing w:line="360" w:lineRule="auto"/>
        <w:ind w:firstLineChars="200" w:firstLine="480"/>
        <w:rPr>
          <w:bCs/>
          <w:sz w:val="24"/>
        </w:rPr>
      </w:pPr>
      <w:r>
        <w:rPr>
          <w:rFonts w:hint="eastAsia"/>
          <w:bCs/>
          <w:sz w:val="24"/>
        </w:rPr>
        <w:t>基金财产清算账册及有关文件由基金托管人保存，保存期限不低于法律法规规定的最低期限。</w:t>
      </w:r>
    </w:p>
    <w:p w:rsidR="005447A2" w:rsidRDefault="005447A2">
      <w:pPr>
        <w:spacing w:line="360" w:lineRule="auto"/>
        <w:ind w:firstLineChars="200" w:firstLine="480"/>
        <w:rPr>
          <w:bCs/>
          <w:sz w:val="24"/>
        </w:rPr>
      </w:pPr>
    </w:p>
    <w:p w:rsidR="005447A2" w:rsidRDefault="002545B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Pr>
          <w:rFonts w:asciiTheme="minorEastAsia" w:hAnsiTheme="minorEastAsia"/>
          <w:b/>
          <w:sz w:val="24"/>
          <w:szCs w:val="24"/>
        </w:rPr>
        <w:t>、特别提示</w:t>
      </w:r>
    </w:p>
    <w:p w:rsidR="005447A2" w:rsidRDefault="002545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、本基金管理人承诺在清算过程中以诚实信用、勤勉尽责的原则履行相关职责。基金财产清算结果将在报中国证监会备案后公布，并将遵照法律法规、《基金合同》等规定及时分配基金财产，敬请投资者留意。</w:t>
      </w:r>
    </w:p>
    <w:p w:rsidR="005447A2" w:rsidRDefault="002545B5">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、本公告</w:t>
      </w:r>
      <w:r>
        <w:rPr>
          <w:rFonts w:asciiTheme="minorEastAsia" w:hAnsiTheme="minorEastAsia"/>
          <w:sz w:val="24"/>
          <w:szCs w:val="24"/>
        </w:rPr>
        <w:t>的解释权归安信基金管理有限责任公司所有</w:t>
      </w:r>
      <w:r>
        <w:rPr>
          <w:rFonts w:asciiTheme="minorEastAsia" w:hAnsiTheme="minorEastAsia" w:hint="eastAsia"/>
          <w:sz w:val="24"/>
          <w:szCs w:val="24"/>
        </w:rPr>
        <w:t>。</w:t>
      </w:r>
      <w:r>
        <w:rPr>
          <w:rFonts w:asciiTheme="minorEastAsia" w:hAnsiTheme="minorEastAsia"/>
          <w:sz w:val="24"/>
          <w:szCs w:val="24"/>
        </w:rPr>
        <w:t>投资者</w:t>
      </w:r>
      <w:r>
        <w:rPr>
          <w:rFonts w:asciiTheme="minorEastAsia" w:hAnsiTheme="minorEastAsia" w:hint="eastAsia"/>
          <w:sz w:val="24"/>
          <w:szCs w:val="24"/>
        </w:rPr>
        <w:t>欲</w:t>
      </w:r>
      <w:r>
        <w:rPr>
          <w:rFonts w:asciiTheme="minorEastAsia" w:hAnsiTheme="minorEastAsia"/>
          <w:sz w:val="24"/>
          <w:szCs w:val="24"/>
        </w:rPr>
        <w:t>了解详情，</w:t>
      </w:r>
      <w:r>
        <w:rPr>
          <w:rFonts w:asciiTheme="minorEastAsia" w:hAnsiTheme="minorEastAsia" w:hint="eastAsia"/>
          <w:sz w:val="24"/>
          <w:szCs w:val="24"/>
        </w:rPr>
        <w:t>可登录本基金管理人网站（</w:t>
      </w:r>
      <w:r>
        <w:rPr>
          <w:rFonts w:asciiTheme="minorEastAsia" w:hAnsiTheme="minorEastAsia"/>
          <w:sz w:val="24"/>
          <w:szCs w:val="24"/>
        </w:rPr>
        <w:t>https://www.essencefund.com</w:t>
      </w:r>
      <w:r>
        <w:rPr>
          <w:rFonts w:asciiTheme="minorEastAsia" w:hAnsiTheme="minorEastAsia" w:hint="eastAsia"/>
          <w:sz w:val="24"/>
          <w:szCs w:val="24"/>
        </w:rPr>
        <w:t>）或拨打本基金管理人的客户服务电话</w:t>
      </w:r>
      <w:r>
        <w:rPr>
          <w:rFonts w:asciiTheme="minorEastAsia" w:hAnsiTheme="minorEastAsia" w:hint="eastAsia"/>
          <w:sz w:val="24"/>
          <w:szCs w:val="24"/>
        </w:rPr>
        <w:t>4008-0</w:t>
      </w:r>
      <w:r>
        <w:rPr>
          <w:rFonts w:asciiTheme="minorEastAsia" w:hAnsiTheme="minorEastAsia" w:hint="eastAsia"/>
          <w:sz w:val="24"/>
          <w:szCs w:val="24"/>
        </w:rPr>
        <w:t>88-088</w:t>
      </w:r>
      <w:r>
        <w:rPr>
          <w:rFonts w:asciiTheme="minorEastAsia" w:hAnsiTheme="minorEastAsia" w:hint="eastAsia"/>
          <w:sz w:val="24"/>
          <w:szCs w:val="24"/>
        </w:rPr>
        <w:t>进行</w:t>
      </w:r>
      <w:r>
        <w:rPr>
          <w:rFonts w:asciiTheme="minorEastAsia" w:hAnsiTheme="minorEastAsia"/>
          <w:sz w:val="24"/>
          <w:szCs w:val="24"/>
        </w:rPr>
        <w:t>咨询</w:t>
      </w:r>
      <w:r>
        <w:rPr>
          <w:rFonts w:asciiTheme="minorEastAsia" w:hAnsiTheme="minorEastAsia" w:hint="eastAsia"/>
          <w:sz w:val="24"/>
          <w:szCs w:val="24"/>
        </w:rPr>
        <w:t>。</w:t>
      </w:r>
    </w:p>
    <w:p w:rsidR="005447A2" w:rsidRDefault="002545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r>
        <w:rPr>
          <w:rFonts w:asciiTheme="minorEastAsia" w:hAnsiTheme="minorEastAsia"/>
          <w:sz w:val="24"/>
          <w:szCs w:val="24"/>
        </w:rPr>
        <w:t>。</w:t>
      </w:r>
    </w:p>
    <w:p w:rsidR="005447A2" w:rsidRDefault="002545B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安信</w:t>
      </w:r>
      <w:r>
        <w:rPr>
          <w:rFonts w:asciiTheme="minorEastAsia" w:hAnsiTheme="minorEastAsia"/>
          <w:sz w:val="24"/>
          <w:szCs w:val="24"/>
        </w:rPr>
        <w:t>基金管理有限责任公司</w:t>
      </w:r>
    </w:p>
    <w:p w:rsidR="005447A2" w:rsidRDefault="002545B5">
      <w:pPr>
        <w:wordWrap w:val="0"/>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二〇二五</w:t>
      </w:r>
      <w:r>
        <w:rPr>
          <w:rFonts w:asciiTheme="minorEastAsia" w:hAnsiTheme="minorEastAsia"/>
          <w:sz w:val="24"/>
          <w:szCs w:val="24"/>
        </w:rPr>
        <w:t>年</w:t>
      </w:r>
      <w:r>
        <w:rPr>
          <w:rFonts w:asciiTheme="minorEastAsia" w:hAnsiTheme="minorEastAsia" w:hint="eastAsia"/>
          <w:sz w:val="24"/>
          <w:szCs w:val="24"/>
        </w:rPr>
        <w:t>七</w:t>
      </w:r>
      <w:r>
        <w:rPr>
          <w:rFonts w:asciiTheme="minorEastAsia" w:hAnsiTheme="minorEastAsia" w:hint="eastAsia"/>
          <w:sz w:val="24"/>
          <w:szCs w:val="24"/>
        </w:rPr>
        <w:t>月二十</w:t>
      </w:r>
      <w:r>
        <w:rPr>
          <w:rFonts w:asciiTheme="minorEastAsia" w:hAnsiTheme="minorEastAsia" w:hint="eastAsia"/>
          <w:sz w:val="24"/>
          <w:szCs w:val="24"/>
        </w:rPr>
        <w:t>八</w:t>
      </w:r>
      <w:r>
        <w:rPr>
          <w:rFonts w:asciiTheme="minorEastAsia" w:hAnsiTheme="minorEastAsia"/>
          <w:sz w:val="24"/>
          <w:szCs w:val="24"/>
        </w:rPr>
        <w:t>日</w:t>
      </w:r>
    </w:p>
    <w:sectPr w:rsidR="005447A2" w:rsidSect="005447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IyZjJlMzc3NWExZDIzNTM5ZTI5ZWU2MjQ0ZTg4MTQifQ=="/>
  </w:docVars>
  <w:rsids>
    <w:rsidRoot w:val="00C24556"/>
    <w:rsid w:val="000045A9"/>
    <w:rsid w:val="00030412"/>
    <w:rsid w:val="00044D78"/>
    <w:rsid w:val="00067EC4"/>
    <w:rsid w:val="00070633"/>
    <w:rsid w:val="00070BB7"/>
    <w:rsid w:val="00075F77"/>
    <w:rsid w:val="00096305"/>
    <w:rsid w:val="000B4389"/>
    <w:rsid w:val="000D43B3"/>
    <w:rsid w:val="000D76DB"/>
    <w:rsid w:val="000F09CE"/>
    <w:rsid w:val="000F4CD4"/>
    <w:rsid w:val="000F7932"/>
    <w:rsid w:val="001302A7"/>
    <w:rsid w:val="00151E70"/>
    <w:rsid w:val="00151FD3"/>
    <w:rsid w:val="00175C71"/>
    <w:rsid w:val="00183905"/>
    <w:rsid w:val="00197A16"/>
    <w:rsid w:val="001A4F55"/>
    <w:rsid w:val="002101E4"/>
    <w:rsid w:val="00227230"/>
    <w:rsid w:val="00242FFD"/>
    <w:rsid w:val="0024436E"/>
    <w:rsid w:val="002545B5"/>
    <w:rsid w:val="00254D5E"/>
    <w:rsid w:val="00256042"/>
    <w:rsid w:val="00257C58"/>
    <w:rsid w:val="00270023"/>
    <w:rsid w:val="002743E2"/>
    <w:rsid w:val="002B3CEE"/>
    <w:rsid w:val="002C69CE"/>
    <w:rsid w:val="002D07ED"/>
    <w:rsid w:val="00344468"/>
    <w:rsid w:val="003447D1"/>
    <w:rsid w:val="00351E01"/>
    <w:rsid w:val="00353AF5"/>
    <w:rsid w:val="00392EF3"/>
    <w:rsid w:val="003B6D8E"/>
    <w:rsid w:val="003C30CB"/>
    <w:rsid w:val="003D39B2"/>
    <w:rsid w:val="003E099F"/>
    <w:rsid w:val="00414E2B"/>
    <w:rsid w:val="00423184"/>
    <w:rsid w:val="00460C6F"/>
    <w:rsid w:val="00462499"/>
    <w:rsid w:val="004866AD"/>
    <w:rsid w:val="004B1316"/>
    <w:rsid w:val="004D438D"/>
    <w:rsid w:val="004E5052"/>
    <w:rsid w:val="004F5408"/>
    <w:rsid w:val="004F563C"/>
    <w:rsid w:val="00530E07"/>
    <w:rsid w:val="005447A2"/>
    <w:rsid w:val="005505D1"/>
    <w:rsid w:val="005539E5"/>
    <w:rsid w:val="00576893"/>
    <w:rsid w:val="005A5228"/>
    <w:rsid w:val="005C0696"/>
    <w:rsid w:val="005E1777"/>
    <w:rsid w:val="006015D3"/>
    <w:rsid w:val="00615F76"/>
    <w:rsid w:val="00634E43"/>
    <w:rsid w:val="00652803"/>
    <w:rsid w:val="00671193"/>
    <w:rsid w:val="00675EE5"/>
    <w:rsid w:val="00697127"/>
    <w:rsid w:val="006A3812"/>
    <w:rsid w:val="006A5F1B"/>
    <w:rsid w:val="006B6A7E"/>
    <w:rsid w:val="00704D22"/>
    <w:rsid w:val="00751D86"/>
    <w:rsid w:val="00754DB4"/>
    <w:rsid w:val="00757F80"/>
    <w:rsid w:val="00775597"/>
    <w:rsid w:val="00794C24"/>
    <w:rsid w:val="007A260D"/>
    <w:rsid w:val="007C1F30"/>
    <w:rsid w:val="007C306E"/>
    <w:rsid w:val="007C3398"/>
    <w:rsid w:val="007E1A87"/>
    <w:rsid w:val="008342DD"/>
    <w:rsid w:val="00841159"/>
    <w:rsid w:val="00843583"/>
    <w:rsid w:val="00851BD9"/>
    <w:rsid w:val="00852406"/>
    <w:rsid w:val="00853B1F"/>
    <w:rsid w:val="00866C58"/>
    <w:rsid w:val="00897DF9"/>
    <w:rsid w:val="008C0421"/>
    <w:rsid w:val="008F0443"/>
    <w:rsid w:val="008F0C01"/>
    <w:rsid w:val="008F7BFD"/>
    <w:rsid w:val="0090060B"/>
    <w:rsid w:val="00912149"/>
    <w:rsid w:val="009137DB"/>
    <w:rsid w:val="009329F5"/>
    <w:rsid w:val="00946AF4"/>
    <w:rsid w:val="00962FEF"/>
    <w:rsid w:val="00970E99"/>
    <w:rsid w:val="00992C6D"/>
    <w:rsid w:val="009C1ED7"/>
    <w:rsid w:val="009D4A39"/>
    <w:rsid w:val="009D75F5"/>
    <w:rsid w:val="009E2575"/>
    <w:rsid w:val="009E2F29"/>
    <w:rsid w:val="009E62A9"/>
    <w:rsid w:val="009F2F85"/>
    <w:rsid w:val="00A04FCD"/>
    <w:rsid w:val="00A41E13"/>
    <w:rsid w:val="00A45075"/>
    <w:rsid w:val="00A7024F"/>
    <w:rsid w:val="00AA0558"/>
    <w:rsid w:val="00AB3CE0"/>
    <w:rsid w:val="00AB7E15"/>
    <w:rsid w:val="00AC236B"/>
    <w:rsid w:val="00B07BBA"/>
    <w:rsid w:val="00B1208B"/>
    <w:rsid w:val="00B17449"/>
    <w:rsid w:val="00B64CAE"/>
    <w:rsid w:val="00B95C1A"/>
    <w:rsid w:val="00BA1DC6"/>
    <w:rsid w:val="00BC663E"/>
    <w:rsid w:val="00BD41F9"/>
    <w:rsid w:val="00C1181A"/>
    <w:rsid w:val="00C24556"/>
    <w:rsid w:val="00C42347"/>
    <w:rsid w:val="00C63624"/>
    <w:rsid w:val="00C7701C"/>
    <w:rsid w:val="00C81ABB"/>
    <w:rsid w:val="00C966D4"/>
    <w:rsid w:val="00CB7A84"/>
    <w:rsid w:val="00CD1B95"/>
    <w:rsid w:val="00CD3341"/>
    <w:rsid w:val="00CD36F8"/>
    <w:rsid w:val="00D040B0"/>
    <w:rsid w:val="00D165A8"/>
    <w:rsid w:val="00DA5416"/>
    <w:rsid w:val="00DF218A"/>
    <w:rsid w:val="00DF79C7"/>
    <w:rsid w:val="00E0442A"/>
    <w:rsid w:val="00E26E99"/>
    <w:rsid w:val="00E33B46"/>
    <w:rsid w:val="00E94E89"/>
    <w:rsid w:val="00E95DFA"/>
    <w:rsid w:val="00EA28B7"/>
    <w:rsid w:val="00ED3AF1"/>
    <w:rsid w:val="00F2479A"/>
    <w:rsid w:val="00F51A26"/>
    <w:rsid w:val="00F70571"/>
    <w:rsid w:val="00F73A95"/>
    <w:rsid w:val="00F7774B"/>
    <w:rsid w:val="00FE7496"/>
    <w:rsid w:val="026F7164"/>
    <w:rsid w:val="10BD1830"/>
    <w:rsid w:val="1471542F"/>
    <w:rsid w:val="2C4C419F"/>
    <w:rsid w:val="410861DE"/>
    <w:rsid w:val="478255B7"/>
    <w:rsid w:val="4977663B"/>
    <w:rsid w:val="52537DE1"/>
    <w:rsid w:val="563D798B"/>
    <w:rsid w:val="598171CD"/>
    <w:rsid w:val="600924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A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447A2"/>
    <w:pPr>
      <w:jc w:val="left"/>
    </w:pPr>
  </w:style>
  <w:style w:type="paragraph" w:styleId="a4">
    <w:name w:val="Balloon Text"/>
    <w:basedOn w:val="a"/>
    <w:link w:val="Char0"/>
    <w:uiPriority w:val="99"/>
    <w:semiHidden/>
    <w:unhideWhenUsed/>
    <w:qFormat/>
    <w:rsid w:val="005447A2"/>
    <w:rPr>
      <w:sz w:val="18"/>
      <w:szCs w:val="18"/>
    </w:rPr>
  </w:style>
  <w:style w:type="paragraph" w:styleId="a5">
    <w:name w:val="footer"/>
    <w:basedOn w:val="a"/>
    <w:link w:val="Char1"/>
    <w:uiPriority w:val="99"/>
    <w:unhideWhenUsed/>
    <w:qFormat/>
    <w:rsid w:val="005447A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447A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5447A2"/>
    <w:rPr>
      <w:b/>
      <w:bCs/>
    </w:rPr>
  </w:style>
  <w:style w:type="table" w:styleId="a8">
    <w:name w:val="Table Grid"/>
    <w:basedOn w:val="a1"/>
    <w:uiPriority w:val="59"/>
    <w:qFormat/>
    <w:rsid w:val="00544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5447A2"/>
    <w:rPr>
      <w:sz w:val="21"/>
      <w:szCs w:val="21"/>
    </w:rPr>
  </w:style>
  <w:style w:type="character" w:customStyle="1" w:styleId="Char2">
    <w:name w:val="页眉 Char"/>
    <w:basedOn w:val="a0"/>
    <w:link w:val="a6"/>
    <w:uiPriority w:val="99"/>
    <w:qFormat/>
    <w:rsid w:val="005447A2"/>
    <w:rPr>
      <w:sz w:val="18"/>
      <w:szCs w:val="18"/>
    </w:rPr>
  </w:style>
  <w:style w:type="character" w:customStyle="1" w:styleId="Char1">
    <w:name w:val="页脚 Char"/>
    <w:basedOn w:val="a0"/>
    <w:link w:val="a5"/>
    <w:uiPriority w:val="99"/>
    <w:qFormat/>
    <w:rsid w:val="005447A2"/>
    <w:rPr>
      <w:sz w:val="18"/>
      <w:szCs w:val="18"/>
    </w:rPr>
  </w:style>
  <w:style w:type="paragraph" w:customStyle="1" w:styleId="Default">
    <w:name w:val="Default"/>
    <w:qFormat/>
    <w:rsid w:val="005447A2"/>
    <w:pPr>
      <w:widowControl w:val="0"/>
      <w:autoSpaceDE w:val="0"/>
      <w:autoSpaceDN w:val="0"/>
      <w:adjustRightInd w:val="0"/>
    </w:pPr>
    <w:rPr>
      <w:rFonts w:ascii="宋体" w:hAnsiTheme="minorHAnsi" w:cs="宋体"/>
      <w:color w:val="000000"/>
      <w:sz w:val="24"/>
      <w:szCs w:val="24"/>
    </w:rPr>
  </w:style>
  <w:style w:type="character" w:customStyle="1" w:styleId="Char">
    <w:name w:val="批注文字 Char"/>
    <w:basedOn w:val="a0"/>
    <w:link w:val="a3"/>
    <w:uiPriority w:val="99"/>
    <w:semiHidden/>
    <w:qFormat/>
    <w:rsid w:val="005447A2"/>
  </w:style>
  <w:style w:type="character" w:customStyle="1" w:styleId="Char3">
    <w:name w:val="批注主题 Char"/>
    <w:basedOn w:val="Char"/>
    <w:link w:val="a7"/>
    <w:uiPriority w:val="99"/>
    <w:semiHidden/>
    <w:qFormat/>
    <w:rsid w:val="005447A2"/>
    <w:rPr>
      <w:b/>
      <w:bCs/>
    </w:rPr>
  </w:style>
  <w:style w:type="character" w:customStyle="1" w:styleId="Char0">
    <w:name w:val="批注框文本 Char"/>
    <w:basedOn w:val="a0"/>
    <w:link w:val="a4"/>
    <w:uiPriority w:val="99"/>
    <w:semiHidden/>
    <w:qFormat/>
    <w:rsid w:val="005447A2"/>
    <w:rPr>
      <w:sz w:val="18"/>
      <w:szCs w:val="18"/>
    </w:rPr>
  </w:style>
  <w:style w:type="paragraph" w:customStyle="1" w:styleId="1">
    <w:name w:val="修订1"/>
    <w:hidden/>
    <w:uiPriority w:val="99"/>
    <w:semiHidden/>
    <w:qFormat/>
    <w:rsid w:val="005447A2"/>
    <w:rPr>
      <w:rFonts w:asciiTheme="minorHAnsi" w:eastAsiaTheme="minorEastAsia" w:hAnsiTheme="minorHAnsi" w:cstheme="minorBidi"/>
      <w:kern w:val="2"/>
      <w:sz w:val="21"/>
      <w:szCs w:val="22"/>
    </w:rPr>
  </w:style>
  <w:style w:type="paragraph" w:customStyle="1" w:styleId="2">
    <w:name w:val="修订2"/>
    <w:hidden/>
    <w:uiPriority w:val="99"/>
    <w:semiHidden/>
    <w:qFormat/>
    <w:rsid w:val="005447A2"/>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5447A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1725</Characters>
  <Application>Microsoft Office Word</Application>
  <DocSecurity>4</DocSecurity>
  <Lines>14</Lines>
  <Paragraphs>4</Paragraphs>
  <ScaleCrop>false</ScaleCrop>
  <Company>P R C</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李少平</dc:creator>
  <cp:lastModifiedBy>ZHONGM</cp:lastModifiedBy>
  <cp:revision>2</cp:revision>
  <dcterms:created xsi:type="dcterms:W3CDTF">2025-07-27T16:01:00Z</dcterms:created>
  <dcterms:modified xsi:type="dcterms:W3CDTF">2025-07-27T16:01:00Z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E7FC7AD717964407B2322B19071F83AE_13</vt:lpwstr>
  </property>
  <property fmtid="{D5CDD505-2E9C-101B-9397-08002B2CF9AE}" pid="4" name="KSOTemplateDocerSaveRecord">
    <vt:lpwstr>eyJoZGlkIjoiZmI0MDU5OGY1ZDUxMWFkNTVlMmNjYjIxZmVlOWVmOGUiLCJ1c2VySWQiOiIxNDgxMTU4MjA4In0=</vt:lpwstr>
  </property>
</Properties>
</file>