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3CC" w:rsidRDefault="002803CC"/>
    <w:p w:rsidR="002803CC" w:rsidRDefault="00A01ACA">
      <w:pPr>
        <w:jc w:val="center"/>
        <w:rPr>
          <w:rFonts w:ascii="宋体" w:eastAsia="宋体" w:hAnsi="宋体"/>
          <w:b/>
          <w:sz w:val="30"/>
        </w:rPr>
      </w:pPr>
      <w:r>
        <w:rPr>
          <w:rFonts w:ascii="宋体" w:eastAsia="宋体" w:hAnsi="宋体" w:hint="eastAsia"/>
          <w:b/>
          <w:sz w:val="30"/>
        </w:rPr>
        <w:t>博时卓越优选混合型证券投资基金开放日常申购、赎回、转换、定期定额投资业务的公告</w:t>
      </w:r>
    </w:p>
    <w:p w:rsidR="002803CC" w:rsidRDefault="00A01ACA">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7</w:t>
      </w:r>
      <w:r>
        <w:rPr>
          <w:rFonts w:ascii="宋体" w:eastAsia="宋体" w:hAnsi="宋体"/>
          <w:b/>
          <w:sz w:val="24"/>
        </w:rPr>
        <w:t>月</w:t>
      </w:r>
      <w:r>
        <w:rPr>
          <w:rFonts w:ascii="宋体" w:eastAsia="宋体" w:hAnsi="宋体"/>
          <w:b/>
          <w:sz w:val="24"/>
        </w:rPr>
        <w:t>25</w:t>
      </w:r>
      <w:r>
        <w:rPr>
          <w:rFonts w:ascii="宋体" w:eastAsia="宋体" w:hAnsi="宋体"/>
          <w:b/>
          <w:sz w:val="24"/>
        </w:rPr>
        <w:t>日</w:t>
      </w:r>
    </w:p>
    <w:p w:rsidR="002803CC" w:rsidRDefault="002803CC">
      <w:pPr>
        <w:jc w:val="center"/>
        <w:rPr>
          <w:rFonts w:ascii="宋体" w:eastAsia="宋体" w:hAnsi="宋体"/>
          <w:b/>
          <w:sz w:val="24"/>
        </w:rPr>
      </w:pPr>
    </w:p>
    <w:p w:rsidR="002803CC" w:rsidRDefault="00A01ACA">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840"/>
        <w:gridCol w:w="2841"/>
        <w:gridCol w:w="2841"/>
      </w:tblGrid>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基金名称</w:t>
            </w:r>
          </w:p>
        </w:tc>
        <w:tc>
          <w:tcPr>
            <w:tcW w:w="5682" w:type="dxa"/>
            <w:gridSpan w:val="2"/>
            <w:vAlign w:val="center"/>
          </w:tcPr>
          <w:p w:rsidR="002803CC" w:rsidRDefault="00A01ACA">
            <w:pPr>
              <w:rPr>
                <w:rFonts w:ascii="宋体" w:eastAsia="宋体" w:hAnsi="宋体"/>
                <w:sz w:val="24"/>
              </w:rPr>
            </w:pPr>
            <w:r>
              <w:rPr>
                <w:rFonts w:ascii="宋体" w:eastAsia="宋体" w:hAnsi="宋体" w:hint="eastAsia"/>
                <w:sz w:val="24"/>
              </w:rPr>
              <w:t>博时卓越优选混合型证券投资基金</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基金简称</w:t>
            </w:r>
          </w:p>
        </w:tc>
        <w:tc>
          <w:tcPr>
            <w:tcW w:w="5682" w:type="dxa"/>
            <w:gridSpan w:val="2"/>
            <w:vAlign w:val="center"/>
          </w:tcPr>
          <w:p w:rsidR="002803CC" w:rsidRDefault="00A01ACA">
            <w:pPr>
              <w:rPr>
                <w:rFonts w:ascii="宋体" w:eastAsia="宋体" w:hAnsi="宋体"/>
                <w:sz w:val="24"/>
              </w:rPr>
            </w:pPr>
            <w:r>
              <w:rPr>
                <w:rFonts w:ascii="宋体" w:eastAsia="宋体" w:hAnsi="宋体" w:hint="eastAsia"/>
                <w:sz w:val="24"/>
              </w:rPr>
              <w:t>博时卓越优选混合</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基金主代码</w:t>
            </w:r>
          </w:p>
        </w:tc>
        <w:tc>
          <w:tcPr>
            <w:tcW w:w="5682" w:type="dxa"/>
            <w:gridSpan w:val="2"/>
            <w:vAlign w:val="center"/>
          </w:tcPr>
          <w:p w:rsidR="002803CC" w:rsidRDefault="00A01ACA">
            <w:pPr>
              <w:rPr>
                <w:rFonts w:ascii="宋体" w:eastAsia="宋体" w:hAnsi="宋体"/>
                <w:sz w:val="24"/>
              </w:rPr>
            </w:pPr>
            <w:r>
              <w:rPr>
                <w:rFonts w:ascii="宋体" w:eastAsia="宋体" w:hAnsi="宋体"/>
                <w:sz w:val="24"/>
              </w:rPr>
              <w:t>019297</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基金运作方式</w:t>
            </w:r>
          </w:p>
        </w:tc>
        <w:tc>
          <w:tcPr>
            <w:tcW w:w="5682" w:type="dxa"/>
            <w:gridSpan w:val="2"/>
            <w:vAlign w:val="center"/>
          </w:tcPr>
          <w:p w:rsidR="002803CC" w:rsidRDefault="00A01ACA">
            <w:pPr>
              <w:rPr>
                <w:rFonts w:ascii="宋体" w:eastAsia="宋体" w:hAnsi="宋体"/>
                <w:sz w:val="24"/>
              </w:rPr>
            </w:pPr>
            <w:r>
              <w:rPr>
                <w:rFonts w:ascii="宋体" w:eastAsia="宋体" w:hAnsi="宋体" w:hint="eastAsia"/>
                <w:sz w:val="24"/>
              </w:rPr>
              <w:t>契约型开放式</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基金合同生效日</w:t>
            </w:r>
          </w:p>
        </w:tc>
        <w:tc>
          <w:tcPr>
            <w:tcW w:w="5682" w:type="dxa"/>
            <w:gridSpan w:val="2"/>
            <w:vAlign w:val="center"/>
          </w:tcPr>
          <w:p w:rsidR="002803CC" w:rsidRDefault="00A01ACA">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6</w:t>
            </w:r>
            <w:r>
              <w:rPr>
                <w:rFonts w:ascii="宋体" w:eastAsia="宋体" w:hAnsi="宋体"/>
                <w:sz w:val="24"/>
              </w:rPr>
              <w:t>月</w:t>
            </w:r>
            <w:r>
              <w:rPr>
                <w:rFonts w:ascii="宋体" w:eastAsia="宋体" w:hAnsi="宋体"/>
                <w:sz w:val="24"/>
              </w:rPr>
              <w:t>27</w:t>
            </w:r>
            <w:r>
              <w:rPr>
                <w:rFonts w:ascii="宋体" w:eastAsia="宋体" w:hAnsi="宋体"/>
                <w:sz w:val="24"/>
              </w:rPr>
              <w:t>日</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基金管理人名称</w:t>
            </w:r>
          </w:p>
        </w:tc>
        <w:tc>
          <w:tcPr>
            <w:tcW w:w="5682" w:type="dxa"/>
            <w:gridSpan w:val="2"/>
            <w:vAlign w:val="center"/>
          </w:tcPr>
          <w:p w:rsidR="002803CC" w:rsidRDefault="00A01ACA">
            <w:pPr>
              <w:rPr>
                <w:rFonts w:ascii="宋体" w:eastAsia="宋体" w:hAnsi="宋体"/>
                <w:sz w:val="24"/>
              </w:rPr>
            </w:pPr>
            <w:r>
              <w:rPr>
                <w:rFonts w:ascii="宋体" w:eastAsia="宋体" w:hAnsi="宋体" w:hint="eastAsia"/>
                <w:sz w:val="24"/>
              </w:rPr>
              <w:t>博时基金管理有限公司</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基金托管人名称</w:t>
            </w:r>
          </w:p>
        </w:tc>
        <w:tc>
          <w:tcPr>
            <w:tcW w:w="5682" w:type="dxa"/>
            <w:gridSpan w:val="2"/>
            <w:vAlign w:val="center"/>
          </w:tcPr>
          <w:p w:rsidR="002803CC" w:rsidRDefault="00A01ACA">
            <w:pPr>
              <w:rPr>
                <w:rFonts w:ascii="宋体" w:eastAsia="宋体" w:hAnsi="宋体"/>
                <w:sz w:val="24"/>
              </w:rPr>
            </w:pPr>
            <w:r>
              <w:rPr>
                <w:rFonts w:ascii="宋体" w:eastAsia="宋体" w:hAnsi="宋体" w:hint="eastAsia"/>
                <w:sz w:val="24"/>
              </w:rPr>
              <w:t>招商银行股份有限公司</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基金注册登记机构名称</w:t>
            </w:r>
          </w:p>
        </w:tc>
        <w:tc>
          <w:tcPr>
            <w:tcW w:w="5682" w:type="dxa"/>
            <w:gridSpan w:val="2"/>
            <w:vAlign w:val="center"/>
          </w:tcPr>
          <w:p w:rsidR="002803CC" w:rsidRDefault="00A01ACA">
            <w:pPr>
              <w:rPr>
                <w:rFonts w:ascii="宋体" w:eastAsia="宋体" w:hAnsi="宋体"/>
                <w:sz w:val="24"/>
              </w:rPr>
            </w:pPr>
            <w:r>
              <w:rPr>
                <w:rFonts w:ascii="宋体" w:eastAsia="宋体" w:hAnsi="宋体" w:hint="eastAsia"/>
                <w:sz w:val="24"/>
              </w:rPr>
              <w:t>博时基金管理有限公司</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公告依据</w:t>
            </w:r>
          </w:p>
        </w:tc>
        <w:tc>
          <w:tcPr>
            <w:tcW w:w="5682" w:type="dxa"/>
            <w:gridSpan w:val="2"/>
            <w:vAlign w:val="center"/>
          </w:tcPr>
          <w:p w:rsidR="002803CC" w:rsidRDefault="00A01ACA">
            <w:pPr>
              <w:rPr>
                <w:rFonts w:ascii="宋体" w:eastAsia="宋体" w:hAnsi="宋体"/>
                <w:sz w:val="24"/>
              </w:rPr>
            </w:pPr>
            <w:r>
              <w:rPr>
                <w:rFonts w:ascii="宋体" w:eastAsia="宋体" w:hAnsi="宋体" w:hint="eastAsia"/>
                <w:sz w:val="24"/>
              </w:rPr>
              <w:t>《博时卓越优选混合型证券投资基金基金合同》、《博时卓越优选混合型证券投资基金招募说明书》等</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申购起始日</w:t>
            </w:r>
          </w:p>
        </w:tc>
        <w:tc>
          <w:tcPr>
            <w:tcW w:w="5682" w:type="dxa"/>
            <w:gridSpan w:val="2"/>
            <w:vAlign w:val="center"/>
          </w:tcPr>
          <w:p w:rsidR="002803CC" w:rsidRDefault="00A01ACA">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7</w:t>
            </w:r>
            <w:r>
              <w:rPr>
                <w:rFonts w:ascii="宋体" w:eastAsia="宋体" w:hAnsi="宋体"/>
                <w:sz w:val="24"/>
              </w:rPr>
              <w:t>月</w:t>
            </w:r>
            <w:r>
              <w:rPr>
                <w:rFonts w:ascii="宋体" w:eastAsia="宋体" w:hAnsi="宋体"/>
                <w:sz w:val="24"/>
              </w:rPr>
              <w:t>28</w:t>
            </w:r>
            <w:r>
              <w:rPr>
                <w:rFonts w:ascii="宋体" w:eastAsia="宋体" w:hAnsi="宋体"/>
                <w:sz w:val="24"/>
              </w:rPr>
              <w:t>日</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赎回起始日</w:t>
            </w:r>
          </w:p>
        </w:tc>
        <w:tc>
          <w:tcPr>
            <w:tcW w:w="5682" w:type="dxa"/>
            <w:gridSpan w:val="2"/>
            <w:vAlign w:val="center"/>
          </w:tcPr>
          <w:p w:rsidR="002803CC" w:rsidRDefault="00A01ACA">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7</w:t>
            </w:r>
            <w:r>
              <w:rPr>
                <w:rFonts w:ascii="宋体" w:eastAsia="宋体" w:hAnsi="宋体"/>
                <w:sz w:val="24"/>
              </w:rPr>
              <w:t>月</w:t>
            </w:r>
            <w:r>
              <w:rPr>
                <w:rFonts w:ascii="宋体" w:eastAsia="宋体" w:hAnsi="宋体"/>
                <w:sz w:val="24"/>
              </w:rPr>
              <w:t>28</w:t>
            </w:r>
            <w:r>
              <w:rPr>
                <w:rFonts w:ascii="宋体" w:eastAsia="宋体" w:hAnsi="宋体"/>
                <w:sz w:val="24"/>
              </w:rPr>
              <w:t>日</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转换转入起始日</w:t>
            </w:r>
          </w:p>
        </w:tc>
        <w:tc>
          <w:tcPr>
            <w:tcW w:w="5682" w:type="dxa"/>
            <w:gridSpan w:val="2"/>
            <w:vAlign w:val="center"/>
          </w:tcPr>
          <w:p w:rsidR="002803CC" w:rsidRDefault="00A01ACA">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7</w:t>
            </w:r>
            <w:r>
              <w:rPr>
                <w:rFonts w:ascii="宋体" w:eastAsia="宋体" w:hAnsi="宋体"/>
                <w:sz w:val="24"/>
              </w:rPr>
              <w:t>月</w:t>
            </w:r>
            <w:r>
              <w:rPr>
                <w:rFonts w:ascii="宋体" w:eastAsia="宋体" w:hAnsi="宋体"/>
                <w:sz w:val="24"/>
              </w:rPr>
              <w:t>28</w:t>
            </w:r>
            <w:r>
              <w:rPr>
                <w:rFonts w:ascii="宋体" w:eastAsia="宋体" w:hAnsi="宋体"/>
                <w:sz w:val="24"/>
              </w:rPr>
              <w:t>日</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转换转出起始日</w:t>
            </w:r>
          </w:p>
        </w:tc>
        <w:tc>
          <w:tcPr>
            <w:tcW w:w="5682" w:type="dxa"/>
            <w:gridSpan w:val="2"/>
            <w:vAlign w:val="center"/>
          </w:tcPr>
          <w:p w:rsidR="002803CC" w:rsidRDefault="00A01ACA">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7</w:t>
            </w:r>
            <w:r>
              <w:rPr>
                <w:rFonts w:ascii="宋体" w:eastAsia="宋体" w:hAnsi="宋体"/>
                <w:sz w:val="24"/>
              </w:rPr>
              <w:t>月</w:t>
            </w:r>
            <w:r>
              <w:rPr>
                <w:rFonts w:ascii="宋体" w:eastAsia="宋体" w:hAnsi="宋体"/>
                <w:sz w:val="24"/>
              </w:rPr>
              <w:t>28</w:t>
            </w:r>
            <w:r>
              <w:rPr>
                <w:rFonts w:ascii="宋体" w:eastAsia="宋体" w:hAnsi="宋体"/>
                <w:sz w:val="24"/>
              </w:rPr>
              <w:t>日</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定期定额投资起始日</w:t>
            </w:r>
          </w:p>
        </w:tc>
        <w:tc>
          <w:tcPr>
            <w:tcW w:w="5682" w:type="dxa"/>
            <w:gridSpan w:val="2"/>
            <w:vAlign w:val="center"/>
          </w:tcPr>
          <w:p w:rsidR="002803CC" w:rsidRDefault="00A01ACA">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7</w:t>
            </w:r>
            <w:r>
              <w:rPr>
                <w:rFonts w:ascii="宋体" w:eastAsia="宋体" w:hAnsi="宋体"/>
                <w:sz w:val="24"/>
              </w:rPr>
              <w:t>月</w:t>
            </w:r>
            <w:r>
              <w:rPr>
                <w:rFonts w:ascii="宋体" w:eastAsia="宋体" w:hAnsi="宋体"/>
                <w:sz w:val="24"/>
              </w:rPr>
              <w:t>28</w:t>
            </w:r>
            <w:r>
              <w:rPr>
                <w:rFonts w:ascii="宋体" w:eastAsia="宋体" w:hAnsi="宋体"/>
                <w:sz w:val="24"/>
              </w:rPr>
              <w:t>日</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下属基金份额的基金简称</w:t>
            </w:r>
          </w:p>
        </w:tc>
        <w:tc>
          <w:tcPr>
            <w:tcW w:w="2841" w:type="dxa"/>
            <w:vAlign w:val="center"/>
          </w:tcPr>
          <w:p w:rsidR="002803CC" w:rsidRDefault="00A01ACA">
            <w:pPr>
              <w:rPr>
                <w:rFonts w:ascii="宋体" w:eastAsia="宋体" w:hAnsi="宋体"/>
                <w:sz w:val="24"/>
              </w:rPr>
            </w:pPr>
            <w:r>
              <w:rPr>
                <w:rFonts w:ascii="宋体" w:eastAsia="宋体" w:hAnsi="宋体" w:hint="eastAsia"/>
                <w:sz w:val="24"/>
              </w:rPr>
              <w:t>博时卓越优选混合</w:t>
            </w:r>
            <w:r>
              <w:rPr>
                <w:rFonts w:ascii="宋体" w:eastAsia="宋体" w:hAnsi="宋体"/>
                <w:sz w:val="24"/>
              </w:rPr>
              <w:t>A</w:t>
            </w:r>
          </w:p>
        </w:tc>
        <w:tc>
          <w:tcPr>
            <w:tcW w:w="2841" w:type="dxa"/>
            <w:vAlign w:val="center"/>
          </w:tcPr>
          <w:p w:rsidR="002803CC" w:rsidRDefault="00A01ACA">
            <w:pPr>
              <w:rPr>
                <w:rFonts w:ascii="宋体" w:eastAsia="宋体" w:hAnsi="宋体"/>
                <w:sz w:val="24"/>
              </w:rPr>
            </w:pPr>
            <w:r>
              <w:rPr>
                <w:rFonts w:ascii="宋体" w:eastAsia="宋体" w:hAnsi="宋体" w:hint="eastAsia"/>
                <w:sz w:val="24"/>
              </w:rPr>
              <w:t>博时卓越优选混合</w:t>
            </w:r>
            <w:r>
              <w:rPr>
                <w:rFonts w:ascii="宋体" w:eastAsia="宋体" w:hAnsi="宋体"/>
                <w:sz w:val="24"/>
              </w:rPr>
              <w:t>C</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下属基金份额的交易代码</w:t>
            </w:r>
          </w:p>
        </w:tc>
        <w:tc>
          <w:tcPr>
            <w:tcW w:w="2841" w:type="dxa"/>
            <w:vAlign w:val="center"/>
          </w:tcPr>
          <w:p w:rsidR="002803CC" w:rsidRDefault="00A01ACA">
            <w:pPr>
              <w:rPr>
                <w:rFonts w:ascii="宋体" w:eastAsia="宋体" w:hAnsi="宋体"/>
                <w:sz w:val="24"/>
              </w:rPr>
            </w:pPr>
            <w:r>
              <w:rPr>
                <w:rFonts w:ascii="宋体" w:eastAsia="宋体" w:hAnsi="宋体"/>
                <w:sz w:val="24"/>
              </w:rPr>
              <w:t>019297</w:t>
            </w:r>
          </w:p>
        </w:tc>
        <w:tc>
          <w:tcPr>
            <w:tcW w:w="2841" w:type="dxa"/>
            <w:vAlign w:val="center"/>
          </w:tcPr>
          <w:p w:rsidR="002803CC" w:rsidRDefault="00A01ACA">
            <w:pPr>
              <w:rPr>
                <w:rFonts w:ascii="宋体" w:eastAsia="宋体" w:hAnsi="宋体"/>
                <w:sz w:val="24"/>
              </w:rPr>
            </w:pPr>
            <w:r>
              <w:rPr>
                <w:rFonts w:ascii="宋体" w:eastAsia="宋体" w:hAnsi="宋体"/>
                <w:sz w:val="24"/>
              </w:rPr>
              <w:t>019298</w:t>
            </w:r>
          </w:p>
        </w:tc>
      </w:tr>
      <w:tr w:rsidR="002803CC">
        <w:tc>
          <w:tcPr>
            <w:tcW w:w="2840" w:type="dxa"/>
            <w:vAlign w:val="center"/>
          </w:tcPr>
          <w:p w:rsidR="002803CC" w:rsidRDefault="00A01ACA">
            <w:pPr>
              <w:rPr>
                <w:rFonts w:ascii="宋体" w:eastAsia="宋体" w:hAnsi="宋体"/>
                <w:sz w:val="24"/>
              </w:rPr>
            </w:pPr>
            <w:r>
              <w:rPr>
                <w:rFonts w:ascii="宋体" w:eastAsia="宋体" w:hAnsi="宋体" w:hint="eastAsia"/>
                <w:sz w:val="24"/>
              </w:rPr>
              <w:t>该类基金份额是否开放申购、赎回、转换、定期定额投资业务</w:t>
            </w:r>
          </w:p>
        </w:tc>
        <w:tc>
          <w:tcPr>
            <w:tcW w:w="2841" w:type="dxa"/>
            <w:vAlign w:val="center"/>
          </w:tcPr>
          <w:p w:rsidR="002803CC" w:rsidRDefault="00A01ACA">
            <w:pPr>
              <w:rPr>
                <w:rFonts w:ascii="宋体" w:eastAsia="宋体" w:hAnsi="宋体"/>
                <w:sz w:val="24"/>
              </w:rPr>
            </w:pPr>
            <w:r>
              <w:rPr>
                <w:rFonts w:ascii="宋体" w:eastAsia="宋体" w:hAnsi="宋体" w:hint="eastAsia"/>
                <w:sz w:val="24"/>
              </w:rPr>
              <w:t>是</w:t>
            </w:r>
          </w:p>
        </w:tc>
        <w:tc>
          <w:tcPr>
            <w:tcW w:w="2841" w:type="dxa"/>
            <w:vAlign w:val="center"/>
          </w:tcPr>
          <w:p w:rsidR="002803CC" w:rsidRDefault="00A01ACA">
            <w:pPr>
              <w:rPr>
                <w:rFonts w:ascii="宋体" w:eastAsia="宋体" w:hAnsi="宋体"/>
                <w:sz w:val="24"/>
              </w:rPr>
            </w:pPr>
            <w:r>
              <w:rPr>
                <w:rFonts w:ascii="宋体" w:eastAsia="宋体" w:hAnsi="宋体" w:hint="eastAsia"/>
                <w:sz w:val="24"/>
              </w:rPr>
              <w:t>是</w:t>
            </w:r>
          </w:p>
        </w:tc>
      </w:tr>
    </w:tbl>
    <w:p w:rsidR="002803CC" w:rsidRDefault="002803CC"/>
    <w:p w:rsidR="002803CC" w:rsidRDefault="00A01ACA">
      <w:pPr>
        <w:pStyle w:val="2"/>
        <w:rPr>
          <w:rFonts w:ascii="宋体" w:eastAsia="宋体" w:hAnsi="宋体"/>
          <w:sz w:val="24"/>
        </w:rPr>
      </w:pPr>
      <w:r>
        <w:rPr>
          <w:rFonts w:ascii="宋体" w:eastAsia="宋体" w:hAnsi="宋体" w:hint="eastAsia"/>
          <w:sz w:val="24"/>
        </w:rPr>
        <w:t>2</w:t>
      </w:r>
      <w:r>
        <w:rPr>
          <w:rFonts w:ascii="宋体" w:eastAsia="宋体" w:hAnsi="宋体" w:hint="eastAsia"/>
          <w:sz w:val="24"/>
        </w:rPr>
        <w:t>、日常申购、赎回、转换、定期定额投资业务的办理时间</w:t>
      </w:r>
    </w:p>
    <w:p w:rsidR="002803CC" w:rsidRDefault="00A01ACA">
      <w:pPr>
        <w:pStyle w:val="a3"/>
        <w:spacing w:before="0" w:beforeAutospacing="0" w:after="0" w:afterAutospacing="0" w:line="360" w:lineRule="auto"/>
        <w:ind w:firstLine="420"/>
      </w:pPr>
      <w:r>
        <w:rPr>
          <w:rFonts w:hint="eastAsia"/>
        </w:rPr>
        <w:t>投资人在开放日办理基金份额的申购、赎回、转换和定期定额投资业务，具体办理时间为上海证券交易所、深圳证券交易所及相关期货交易所的正常交易日的交易时间，但基金管理人根据法律法规、中国证监会的要求或基金合同的规定公告暂停申购、赎回、转换和定期定额投资业务时除外。</w:t>
      </w:r>
      <w:r>
        <w:rPr>
          <w:rFonts w:hint="eastAsia"/>
        </w:rPr>
        <w:t xml:space="preserve"> </w:t>
      </w:r>
    </w:p>
    <w:p w:rsidR="002803CC" w:rsidRDefault="00A01ACA">
      <w:pPr>
        <w:pStyle w:val="a3"/>
        <w:spacing w:before="0" w:beforeAutospacing="0" w:after="0" w:afterAutospacing="0" w:line="360" w:lineRule="auto"/>
        <w:ind w:firstLine="420"/>
      </w:pPr>
      <w:r>
        <w:rPr>
          <w:rFonts w:hint="eastAsia"/>
        </w:rPr>
        <w:lastRenderedPageBreak/>
        <w:t>基金合同生效后，若出现新的证券</w:t>
      </w:r>
      <w:r>
        <w:rPr>
          <w:rFonts w:hint="eastAsia"/>
        </w:rPr>
        <w:t>/</w:t>
      </w:r>
      <w:r>
        <w:rPr>
          <w:rFonts w:hint="eastAsia"/>
        </w:rPr>
        <w:t>期货交易市场、证券</w:t>
      </w:r>
      <w:r>
        <w:rPr>
          <w:rFonts w:hint="eastAsia"/>
        </w:rPr>
        <w:t>/</w:t>
      </w:r>
      <w:r>
        <w:rPr>
          <w:rFonts w:hint="eastAsia"/>
        </w:rPr>
        <w:t>期货交易所交易时间变更或其他特殊情况，基金管理人将视情况对前述开放日及开放时间进行相应的调整，但应在实施日前依照《公开募集证券投资基金信息披露管理</w:t>
      </w:r>
      <w:r>
        <w:rPr>
          <w:rFonts w:hint="eastAsia"/>
        </w:rPr>
        <w:t>办法》的有关规定在指定媒介上公告。</w:t>
      </w:r>
      <w:r>
        <w:rPr>
          <w:rFonts w:hint="eastAsia"/>
        </w:rPr>
        <w:t xml:space="preserve"> </w:t>
      </w:r>
    </w:p>
    <w:p w:rsidR="002803CC" w:rsidRDefault="00A01ACA">
      <w:pPr>
        <w:pStyle w:val="2"/>
        <w:rPr>
          <w:rFonts w:ascii="宋体" w:eastAsia="宋体" w:hAnsi="宋体"/>
          <w:sz w:val="24"/>
        </w:rPr>
      </w:pPr>
      <w:r>
        <w:rPr>
          <w:rFonts w:ascii="宋体" w:eastAsia="宋体" w:hAnsi="宋体"/>
          <w:sz w:val="24"/>
        </w:rPr>
        <w:t>3</w:t>
      </w:r>
      <w:r>
        <w:rPr>
          <w:rFonts w:ascii="宋体" w:eastAsia="宋体" w:hAnsi="宋体"/>
          <w:sz w:val="24"/>
        </w:rPr>
        <w:t>、日常申购业务</w:t>
      </w:r>
    </w:p>
    <w:p w:rsidR="002803CC" w:rsidRDefault="00A01ACA">
      <w:pPr>
        <w:pStyle w:val="3"/>
        <w:rPr>
          <w:rFonts w:ascii="宋体" w:eastAsia="宋体" w:hAnsi="宋体"/>
          <w:sz w:val="24"/>
        </w:rPr>
      </w:pPr>
      <w:r>
        <w:rPr>
          <w:rFonts w:ascii="宋体" w:eastAsia="宋体" w:hAnsi="宋体" w:hint="eastAsia"/>
          <w:sz w:val="24"/>
        </w:rPr>
        <w:t>3.1</w:t>
      </w:r>
      <w:r>
        <w:rPr>
          <w:rFonts w:ascii="宋体" w:eastAsia="宋体" w:hAnsi="宋体" w:hint="eastAsia"/>
          <w:sz w:val="24"/>
        </w:rPr>
        <w:t>申购金额限制</w:t>
      </w:r>
    </w:p>
    <w:p w:rsidR="002803CC" w:rsidRDefault="00A01ACA">
      <w:pPr>
        <w:pStyle w:val="a3"/>
        <w:spacing w:before="0" w:beforeAutospacing="0" w:after="0" w:afterAutospacing="0" w:line="360" w:lineRule="auto"/>
        <w:ind w:firstLine="420"/>
      </w:pPr>
      <w:r>
        <w:rPr>
          <w:rFonts w:hint="eastAsia"/>
        </w:rPr>
        <w:t>首次申购基金份额的单笔最低金额为</w:t>
      </w:r>
      <w:r>
        <w:rPr>
          <w:rFonts w:hint="eastAsia"/>
        </w:rPr>
        <w:t>1</w:t>
      </w:r>
      <w:r>
        <w:rPr>
          <w:rFonts w:hint="eastAsia"/>
        </w:rPr>
        <w:t>元（含申购费），追加申购的单笔最低金额为</w:t>
      </w:r>
      <w:r>
        <w:rPr>
          <w:rFonts w:hint="eastAsia"/>
        </w:rPr>
        <w:t>1</w:t>
      </w:r>
      <w:r>
        <w:rPr>
          <w:rFonts w:hint="eastAsia"/>
        </w:rPr>
        <w:t>元（含申购费）；详情请见当地销售机构公告。</w:t>
      </w:r>
      <w:r>
        <w:rPr>
          <w:rFonts w:hint="eastAsia"/>
        </w:rPr>
        <w:t xml:space="preserve"> </w:t>
      </w:r>
    </w:p>
    <w:p w:rsidR="002803CC" w:rsidRDefault="00A01ACA">
      <w:pPr>
        <w:pStyle w:val="3"/>
        <w:rPr>
          <w:rFonts w:ascii="宋体" w:eastAsia="宋体" w:hAnsi="宋体"/>
          <w:sz w:val="24"/>
        </w:rPr>
      </w:pPr>
      <w:r>
        <w:rPr>
          <w:rFonts w:ascii="宋体" w:eastAsia="宋体" w:hAnsi="宋体"/>
          <w:sz w:val="24"/>
        </w:rPr>
        <w:t>3.2</w:t>
      </w:r>
      <w:r>
        <w:rPr>
          <w:rFonts w:ascii="宋体" w:eastAsia="宋体" w:hAnsi="宋体"/>
          <w:sz w:val="24"/>
        </w:rPr>
        <w:t>申购费率</w:t>
      </w:r>
    </w:p>
    <w:p w:rsidR="002803CC" w:rsidRDefault="00A01ACA">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投资者可以多次申购本基金，申购费率按每笔申购申请单独计算。</w:t>
      </w:r>
    </w:p>
    <w:p w:rsidR="002803CC" w:rsidRDefault="00A01ACA">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本基金</w:t>
      </w:r>
      <w:r>
        <w:rPr>
          <w:rFonts w:ascii="宋体" w:eastAsia="宋体" w:hAnsi="宋体" w:cs="宋体" w:hint="eastAsia"/>
          <w:kern w:val="0"/>
          <w:sz w:val="24"/>
          <w:szCs w:val="24"/>
        </w:rPr>
        <w:t>A</w:t>
      </w:r>
      <w:r>
        <w:rPr>
          <w:rFonts w:ascii="宋体" w:eastAsia="宋体" w:hAnsi="宋体" w:cs="宋体" w:hint="eastAsia"/>
          <w:kern w:val="0"/>
          <w:sz w:val="24"/>
          <w:szCs w:val="24"/>
        </w:rPr>
        <w:t>类基金份额收取申购费用，</w:t>
      </w:r>
      <w:r>
        <w:rPr>
          <w:rFonts w:ascii="宋体" w:eastAsia="宋体" w:hAnsi="宋体" w:cs="宋体" w:hint="eastAsia"/>
          <w:kern w:val="0"/>
          <w:sz w:val="24"/>
          <w:szCs w:val="24"/>
        </w:rPr>
        <w:t>C</w:t>
      </w:r>
      <w:r>
        <w:rPr>
          <w:rFonts w:ascii="宋体" w:eastAsia="宋体" w:hAnsi="宋体" w:cs="宋体" w:hint="eastAsia"/>
          <w:kern w:val="0"/>
          <w:sz w:val="24"/>
          <w:szCs w:val="24"/>
        </w:rPr>
        <w:t>类基金份额不收取申购费用。投资者的申购费用如下：</w:t>
      </w:r>
      <w:r>
        <w:rPr>
          <w:rFonts w:ascii="宋体" w:eastAsia="宋体" w:hAnsi="宋体" w:cs="宋体" w:hint="eastAsia"/>
          <w:kern w:val="0"/>
          <w:sz w:val="24"/>
          <w:szCs w:val="24"/>
        </w:rPr>
        <w:t xml:space="preserve"> </w:t>
      </w:r>
    </w:p>
    <w:p w:rsidR="002803CC" w:rsidRDefault="00A01ACA">
      <w:pPr>
        <w:adjustRightInd w:val="0"/>
        <w:snapToGrid w:val="0"/>
        <w:spacing w:line="360" w:lineRule="auto"/>
        <w:ind w:firstLineChars="200" w:firstLine="480"/>
        <w:jc w:val="center"/>
        <w:rPr>
          <w:rFonts w:ascii="宋体" w:eastAsia="宋体" w:hAnsi="宋体" w:cs="宋体"/>
          <w:kern w:val="0"/>
          <w:sz w:val="24"/>
          <w:szCs w:val="24"/>
        </w:rPr>
      </w:pPr>
      <w:r>
        <w:rPr>
          <w:rFonts w:ascii="宋体" w:eastAsia="宋体" w:hAnsi="宋体" w:cs="宋体" w:hint="eastAsia"/>
          <w:kern w:val="0"/>
          <w:sz w:val="24"/>
          <w:szCs w:val="24"/>
        </w:rPr>
        <w:t>表：本基金</w:t>
      </w:r>
      <w:r>
        <w:rPr>
          <w:rFonts w:ascii="宋体" w:eastAsia="宋体" w:hAnsi="宋体" w:cs="宋体" w:hint="eastAsia"/>
          <w:kern w:val="0"/>
          <w:sz w:val="24"/>
          <w:szCs w:val="24"/>
        </w:rPr>
        <w:t>A</w:t>
      </w:r>
      <w:r>
        <w:rPr>
          <w:rFonts w:ascii="宋体" w:eastAsia="宋体" w:hAnsi="宋体" w:cs="宋体" w:hint="eastAsia"/>
          <w:kern w:val="0"/>
          <w:sz w:val="24"/>
          <w:szCs w:val="24"/>
        </w:rPr>
        <w:t>、</w:t>
      </w:r>
      <w:r>
        <w:rPr>
          <w:rFonts w:ascii="宋体" w:eastAsia="宋体" w:hAnsi="宋体" w:cs="宋体" w:hint="eastAsia"/>
          <w:kern w:val="0"/>
          <w:sz w:val="24"/>
          <w:szCs w:val="24"/>
        </w:rPr>
        <w:t>C</w:t>
      </w:r>
      <w:r>
        <w:rPr>
          <w:rFonts w:ascii="宋体" w:eastAsia="宋体" w:hAnsi="宋体" w:cs="宋体" w:hint="eastAsia"/>
          <w:kern w:val="0"/>
          <w:sz w:val="24"/>
          <w:szCs w:val="24"/>
        </w:rPr>
        <w:t>类基金份额的申购费率表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8"/>
        <w:gridCol w:w="2268"/>
        <w:gridCol w:w="2347"/>
      </w:tblGrid>
      <w:tr w:rsidR="002803CC">
        <w:trPr>
          <w:trHeight w:val="190"/>
          <w:jc w:val="center"/>
        </w:trPr>
        <w:tc>
          <w:tcPr>
            <w:tcW w:w="2778" w:type="dxa"/>
            <w:vAlign w:val="center"/>
          </w:tcPr>
          <w:p w:rsidR="002803CC" w:rsidRDefault="00A01ACA">
            <w:pPr>
              <w:widowControl/>
              <w:spacing w:line="336" w:lineRule="auto"/>
              <w:jc w:val="center"/>
              <w:rPr>
                <w:rFonts w:ascii="宋体" w:eastAsia="宋体" w:hAnsi="宋体" w:cs="宋体"/>
                <w:kern w:val="0"/>
                <w:sz w:val="24"/>
                <w:szCs w:val="24"/>
              </w:rPr>
            </w:pPr>
            <w:r>
              <w:rPr>
                <w:rFonts w:ascii="宋体" w:eastAsia="宋体" w:hAnsi="宋体" w:cs="宋体" w:hint="eastAsia"/>
                <w:kern w:val="0"/>
                <w:sz w:val="24"/>
                <w:szCs w:val="24"/>
              </w:rPr>
              <w:t>申购金额（</w:t>
            </w:r>
            <w:r>
              <w:rPr>
                <w:rFonts w:ascii="宋体" w:eastAsia="宋体" w:hAnsi="宋体" w:cs="宋体" w:hint="eastAsia"/>
                <w:kern w:val="0"/>
                <w:sz w:val="24"/>
                <w:szCs w:val="24"/>
              </w:rPr>
              <w:t>M</w:t>
            </w:r>
            <w:r>
              <w:rPr>
                <w:rFonts w:ascii="宋体" w:eastAsia="宋体" w:hAnsi="宋体" w:cs="宋体" w:hint="eastAsia"/>
                <w:kern w:val="0"/>
                <w:sz w:val="24"/>
                <w:szCs w:val="24"/>
              </w:rPr>
              <w:t>）</w:t>
            </w:r>
          </w:p>
        </w:tc>
        <w:tc>
          <w:tcPr>
            <w:tcW w:w="2268" w:type="dxa"/>
            <w:vAlign w:val="center"/>
          </w:tcPr>
          <w:p w:rsidR="002803CC" w:rsidRDefault="00A01ACA">
            <w:pPr>
              <w:widowControl/>
              <w:spacing w:line="336" w:lineRule="auto"/>
              <w:jc w:val="center"/>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类基金份额申购费率</w:t>
            </w:r>
          </w:p>
        </w:tc>
        <w:tc>
          <w:tcPr>
            <w:tcW w:w="2347" w:type="dxa"/>
            <w:vAlign w:val="center"/>
          </w:tcPr>
          <w:p w:rsidR="002803CC" w:rsidRDefault="00A01ACA">
            <w:pPr>
              <w:pStyle w:val="30"/>
              <w:snapToGrid w:val="0"/>
              <w:ind w:firstLine="0"/>
              <w:jc w:val="center"/>
              <w:rPr>
                <w:rFonts w:eastAsia="宋体" w:hAnsi="宋体" w:cs="宋体"/>
                <w:sz w:val="24"/>
                <w:szCs w:val="24"/>
              </w:rPr>
            </w:pPr>
            <w:r>
              <w:rPr>
                <w:rFonts w:eastAsia="宋体" w:hAnsi="宋体" w:cs="宋体" w:hint="eastAsia"/>
                <w:sz w:val="24"/>
                <w:szCs w:val="24"/>
              </w:rPr>
              <w:t>C</w:t>
            </w:r>
            <w:r>
              <w:rPr>
                <w:rFonts w:eastAsia="宋体" w:hAnsi="宋体" w:cs="宋体" w:hint="eastAsia"/>
                <w:sz w:val="24"/>
                <w:szCs w:val="24"/>
              </w:rPr>
              <w:t>类基金份额申购费率</w:t>
            </w:r>
          </w:p>
        </w:tc>
      </w:tr>
      <w:tr w:rsidR="002803CC">
        <w:trPr>
          <w:trHeight w:val="190"/>
          <w:jc w:val="center"/>
        </w:trPr>
        <w:tc>
          <w:tcPr>
            <w:tcW w:w="2778" w:type="dxa"/>
            <w:vAlign w:val="center"/>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M</w:t>
            </w:r>
            <w:r>
              <w:rPr>
                <w:rFonts w:ascii="宋体" w:eastAsia="宋体" w:hAnsi="宋体" w:cs="宋体" w:hint="eastAsia"/>
                <w:kern w:val="0"/>
                <w:sz w:val="24"/>
                <w:szCs w:val="24"/>
              </w:rPr>
              <w:t>＜</w:t>
            </w:r>
            <w:r>
              <w:rPr>
                <w:rFonts w:ascii="宋体" w:eastAsia="宋体" w:hAnsi="宋体" w:cs="宋体" w:hint="eastAsia"/>
                <w:kern w:val="0"/>
                <w:sz w:val="24"/>
                <w:szCs w:val="24"/>
              </w:rPr>
              <w:t>500</w:t>
            </w:r>
            <w:r>
              <w:rPr>
                <w:rFonts w:ascii="宋体" w:eastAsia="宋体" w:hAnsi="宋体" w:cs="宋体" w:hint="eastAsia"/>
                <w:kern w:val="0"/>
                <w:sz w:val="24"/>
                <w:szCs w:val="24"/>
              </w:rPr>
              <w:t>万元</w:t>
            </w:r>
          </w:p>
        </w:tc>
        <w:tc>
          <w:tcPr>
            <w:tcW w:w="2268" w:type="dxa"/>
            <w:vAlign w:val="center"/>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1.50%</w:t>
            </w:r>
          </w:p>
        </w:tc>
        <w:tc>
          <w:tcPr>
            <w:tcW w:w="2347" w:type="dxa"/>
            <w:vMerge w:val="restart"/>
            <w:vAlign w:val="center"/>
          </w:tcPr>
          <w:p w:rsidR="002803CC" w:rsidRDefault="00A01ACA">
            <w:pPr>
              <w:pStyle w:val="30"/>
              <w:snapToGrid w:val="0"/>
              <w:ind w:firstLine="0"/>
              <w:jc w:val="center"/>
              <w:rPr>
                <w:rFonts w:eastAsia="宋体" w:hAnsi="宋体" w:cs="宋体"/>
                <w:sz w:val="24"/>
                <w:szCs w:val="24"/>
              </w:rPr>
            </w:pPr>
            <w:r>
              <w:rPr>
                <w:rFonts w:eastAsia="宋体" w:hAnsi="宋体" w:cs="宋体" w:hint="eastAsia"/>
                <w:sz w:val="24"/>
                <w:szCs w:val="24"/>
              </w:rPr>
              <w:t>0.00%</w:t>
            </w:r>
          </w:p>
        </w:tc>
      </w:tr>
      <w:tr w:rsidR="002803CC">
        <w:trPr>
          <w:trHeight w:val="190"/>
          <w:jc w:val="center"/>
        </w:trPr>
        <w:tc>
          <w:tcPr>
            <w:tcW w:w="2778" w:type="dxa"/>
            <w:vAlign w:val="center"/>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M</w:t>
            </w:r>
            <w:r>
              <w:rPr>
                <w:rFonts w:ascii="宋体" w:eastAsia="宋体" w:hAnsi="宋体" w:cs="宋体" w:hint="eastAsia"/>
                <w:kern w:val="0"/>
                <w:sz w:val="24"/>
                <w:szCs w:val="24"/>
              </w:rPr>
              <w:t>≥</w:t>
            </w:r>
            <w:r>
              <w:rPr>
                <w:rFonts w:ascii="宋体" w:eastAsia="宋体" w:hAnsi="宋体" w:cs="宋体" w:hint="eastAsia"/>
                <w:kern w:val="0"/>
                <w:sz w:val="24"/>
                <w:szCs w:val="24"/>
              </w:rPr>
              <w:t>500</w:t>
            </w:r>
            <w:r>
              <w:rPr>
                <w:rFonts w:ascii="宋体" w:eastAsia="宋体" w:hAnsi="宋体" w:cs="宋体" w:hint="eastAsia"/>
                <w:kern w:val="0"/>
                <w:sz w:val="24"/>
                <w:szCs w:val="24"/>
              </w:rPr>
              <w:t>万元</w:t>
            </w:r>
          </w:p>
        </w:tc>
        <w:tc>
          <w:tcPr>
            <w:tcW w:w="2268" w:type="dxa"/>
            <w:vAlign w:val="center"/>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1000</w:t>
            </w:r>
            <w:r>
              <w:rPr>
                <w:rFonts w:ascii="宋体" w:eastAsia="宋体" w:hAnsi="宋体" w:cs="宋体" w:hint="eastAsia"/>
                <w:kern w:val="0"/>
                <w:sz w:val="24"/>
                <w:szCs w:val="24"/>
              </w:rPr>
              <w:t>元</w:t>
            </w:r>
            <w:r>
              <w:rPr>
                <w:rFonts w:ascii="宋体" w:eastAsia="宋体" w:hAnsi="宋体" w:cs="宋体" w:hint="eastAsia"/>
                <w:kern w:val="0"/>
                <w:sz w:val="24"/>
                <w:szCs w:val="24"/>
              </w:rPr>
              <w:t>/</w:t>
            </w:r>
            <w:r>
              <w:rPr>
                <w:rFonts w:ascii="宋体" w:eastAsia="宋体" w:hAnsi="宋体" w:cs="宋体" w:hint="eastAsia"/>
                <w:kern w:val="0"/>
                <w:sz w:val="24"/>
                <w:szCs w:val="24"/>
              </w:rPr>
              <w:t>笔</w:t>
            </w:r>
          </w:p>
        </w:tc>
        <w:tc>
          <w:tcPr>
            <w:tcW w:w="2347" w:type="dxa"/>
            <w:vMerge/>
            <w:vAlign w:val="center"/>
          </w:tcPr>
          <w:p w:rsidR="002803CC" w:rsidRDefault="002803CC">
            <w:pPr>
              <w:pStyle w:val="30"/>
              <w:snapToGrid w:val="0"/>
              <w:ind w:firstLineChars="200" w:firstLine="480"/>
              <w:jc w:val="center"/>
              <w:rPr>
                <w:rFonts w:eastAsia="宋体" w:hAnsi="宋体" w:cs="宋体"/>
                <w:sz w:val="24"/>
                <w:szCs w:val="24"/>
              </w:rPr>
            </w:pPr>
          </w:p>
        </w:tc>
      </w:tr>
    </w:tbl>
    <w:p w:rsidR="002803CC" w:rsidRDefault="00A01ACA" w:rsidP="00A01ACA">
      <w:pPr>
        <w:adjustRightInd w:val="0"/>
        <w:snapToGrid w:val="0"/>
        <w:spacing w:beforeLines="50" w:line="360" w:lineRule="auto"/>
        <w:ind w:firstLine="420"/>
        <w:rPr>
          <w:rFonts w:ascii="宋体" w:eastAsia="宋体" w:hAnsi="宋体" w:cs="宋体"/>
          <w:kern w:val="0"/>
          <w:sz w:val="24"/>
          <w:szCs w:val="24"/>
        </w:rPr>
      </w:pPr>
      <w:r>
        <w:rPr>
          <w:rFonts w:ascii="宋体" w:eastAsia="宋体" w:hAnsi="宋体" w:cs="宋体" w:hint="eastAsia"/>
          <w:kern w:val="0"/>
          <w:sz w:val="24"/>
          <w:szCs w:val="24"/>
        </w:rPr>
        <w:t>本基金</w:t>
      </w:r>
      <w:r>
        <w:rPr>
          <w:rFonts w:ascii="宋体" w:eastAsia="宋体" w:hAnsi="宋体" w:cs="宋体" w:hint="eastAsia"/>
          <w:kern w:val="0"/>
          <w:sz w:val="24"/>
          <w:szCs w:val="24"/>
          <w:lang/>
        </w:rPr>
        <w:t>A</w:t>
      </w:r>
      <w:r>
        <w:rPr>
          <w:rFonts w:ascii="宋体" w:eastAsia="宋体" w:hAnsi="宋体" w:cs="宋体" w:hint="eastAsia"/>
          <w:kern w:val="0"/>
          <w:sz w:val="24"/>
          <w:szCs w:val="24"/>
          <w:lang/>
        </w:rPr>
        <w:t>类基金份额</w:t>
      </w:r>
      <w:r>
        <w:rPr>
          <w:rFonts w:ascii="宋体" w:eastAsia="宋体" w:hAnsi="宋体" w:cs="宋体" w:hint="eastAsia"/>
          <w:kern w:val="0"/>
          <w:sz w:val="24"/>
          <w:szCs w:val="24"/>
        </w:rPr>
        <w:t>的申购费用由投资人承担，主要用于本基金的市场推广、销售、登记等各项费用，不列入基金财产。</w:t>
      </w:r>
    </w:p>
    <w:p w:rsidR="002803CC" w:rsidRDefault="00A01ACA">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基金管理人可以针对特定投资人（如养老金客户等）开展费率优惠活动，具体见基金管理人相关公</w:t>
      </w:r>
      <w:bookmarkStart w:id="0" w:name="_GoBack"/>
      <w:bookmarkEnd w:id="0"/>
      <w:r>
        <w:rPr>
          <w:rFonts w:ascii="宋体" w:eastAsia="宋体" w:hAnsi="宋体" w:cs="宋体" w:hint="eastAsia"/>
          <w:kern w:val="0"/>
          <w:sz w:val="24"/>
          <w:szCs w:val="24"/>
        </w:rPr>
        <w:t>告。</w:t>
      </w:r>
    </w:p>
    <w:p w:rsidR="002803CC" w:rsidRDefault="00A01ACA">
      <w:pPr>
        <w:pStyle w:val="3"/>
        <w:rPr>
          <w:rFonts w:ascii="宋体" w:eastAsia="宋体" w:hAnsi="宋体"/>
          <w:sz w:val="24"/>
        </w:rPr>
      </w:pPr>
      <w:r>
        <w:rPr>
          <w:rFonts w:ascii="宋体" w:eastAsia="宋体" w:hAnsi="宋体" w:hint="eastAsia"/>
          <w:sz w:val="24"/>
        </w:rPr>
        <w:t>3.3</w:t>
      </w:r>
      <w:r>
        <w:rPr>
          <w:rFonts w:ascii="宋体" w:eastAsia="宋体" w:hAnsi="宋体" w:hint="eastAsia"/>
          <w:sz w:val="24"/>
        </w:rPr>
        <w:t>其他与申购相关的事项</w:t>
      </w:r>
    </w:p>
    <w:p w:rsidR="002803CC" w:rsidRDefault="00A01ACA">
      <w:pPr>
        <w:pStyle w:val="a3"/>
        <w:spacing w:before="0" w:beforeAutospacing="0" w:after="0" w:afterAutospacing="0" w:line="360" w:lineRule="auto"/>
        <w:ind w:firstLine="420"/>
      </w:pPr>
      <w:r>
        <w:rPr>
          <w:rFonts w:hint="eastAsia"/>
        </w:rPr>
        <w:t>（</w:t>
      </w:r>
      <w:r>
        <w:rPr>
          <w:rFonts w:hint="eastAsia"/>
        </w:rPr>
        <w:t>1</w:t>
      </w:r>
      <w:r>
        <w:rPr>
          <w:rFonts w:hint="eastAsia"/>
        </w:rPr>
        <w:t>）基金管理人可根据有关法律规定和市场情况，调整申购金额的数量限制，基金管理人必须最迟在调整前依照《公开募集证券投资基金信息披露管理办法》的有关规定在规定媒介上公告。</w:t>
      </w:r>
      <w:r>
        <w:rPr>
          <w:rFonts w:hint="eastAsia"/>
        </w:rPr>
        <w:t xml:space="preserve"> </w:t>
      </w:r>
    </w:p>
    <w:p w:rsidR="002803CC" w:rsidRDefault="00A01ACA">
      <w:pPr>
        <w:pStyle w:val="a3"/>
        <w:spacing w:before="0" w:beforeAutospacing="0" w:after="0" w:afterAutospacing="0" w:line="360" w:lineRule="auto"/>
        <w:ind w:firstLine="420"/>
      </w:pPr>
      <w:r>
        <w:rPr>
          <w:rFonts w:hint="eastAsia"/>
        </w:rPr>
        <w:lastRenderedPageBreak/>
        <w:t>（</w:t>
      </w:r>
      <w:r>
        <w:rPr>
          <w:rFonts w:hint="eastAsia"/>
        </w:rPr>
        <w:t>2</w:t>
      </w:r>
      <w:r>
        <w:rPr>
          <w:rFonts w:hint="eastAsia"/>
        </w:rPr>
        <w:t>）基金管理人可以在法律法规和基金合同规定范围内调整申购费率。费率如发生变更，基金管理人应在调整前依照《公开募集证券投资基金信息披露管理办法》的有关规定在规定媒介上公告。</w:t>
      </w:r>
      <w:r>
        <w:rPr>
          <w:rFonts w:hint="eastAsia"/>
        </w:rPr>
        <w:t xml:space="preserve"> </w:t>
      </w:r>
    </w:p>
    <w:p w:rsidR="002803CC" w:rsidRDefault="00A01ACA">
      <w:pPr>
        <w:pStyle w:val="2"/>
        <w:rPr>
          <w:rFonts w:ascii="宋体" w:eastAsia="宋体" w:hAnsi="宋体"/>
          <w:sz w:val="24"/>
        </w:rPr>
      </w:pPr>
      <w:r>
        <w:rPr>
          <w:rFonts w:ascii="宋体" w:eastAsia="宋体" w:hAnsi="宋体"/>
          <w:sz w:val="24"/>
        </w:rPr>
        <w:t>4</w:t>
      </w:r>
      <w:r>
        <w:rPr>
          <w:rFonts w:ascii="宋体" w:eastAsia="宋体" w:hAnsi="宋体"/>
          <w:sz w:val="24"/>
        </w:rPr>
        <w:t>、日常赎回业务</w:t>
      </w:r>
    </w:p>
    <w:p w:rsidR="002803CC" w:rsidRDefault="00A01ACA">
      <w:pPr>
        <w:pStyle w:val="3"/>
        <w:rPr>
          <w:rFonts w:ascii="宋体" w:eastAsia="宋体" w:hAnsi="宋体"/>
          <w:sz w:val="24"/>
        </w:rPr>
      </w:pPr>
      <w:r>
        <w:rPr>
          <w:rFonts w:ascii="宋体" w:eastAsia="宋体" w:hAnsi="宋体" w:hint="eastAsia"/>
          <w:sz w:val="24"/>
        </w:rPr>
        <w:t>4.1</w:t>
      </w:r>
      <w:r>
        <w:rPr>
          <w:rFonts w:ascii="宋体" w:eastAsia="宋体" w:hAnsi="宋体" w:hint="eastAsia"/>
          <w:sz w:val="24"/>
        </w:rPr>
        <w:t>赎回份额限制</w:t>
      </w:r>
    </w:p>
    <w:p w:rsidR="002803CC" w:rsidRDefault="00A01ACA">
      <w:pPr>
        <w:pStyle w:val="a3"/>
        <w:spacing w:before="0" w:beforeAutospacing="0" w:after="0" w:afterAutospacing="0" w:line="360" w:lineRule="auto"/>
        <w:ind w:firstLine="420"/>
      </w:pPr>
      <w:r>
        <w:rPr>
          <w:rFonts w:hint="eastAsia"/>
        </w:rPr>
        <w:t>每个交易账户最低持有基金份额余额为</w:t>
      </w:r>
      <w:r>
        <w:rPr>
          <w:rFonts w:hint="eastAsia"/>
        </w:rPr>
        <w:t>1</w:t>
      </w:r>
      <w:r>
        <w:rPr>
          <w:rFonts w:hint="eastAsia"/>
        </w:rPr>
        <w:t>份，若某笔赎回导致单个交易账户的某一类别基金份额余额少于</w:t>
      </w:r>
      <w:r>
        <w:rPr>
          <w:rFonts w:hint="eastAsia"/>
        </w:rPr>
        <w:t>1</w:t>
      </w:r>
      <w:r>
        <w:rPr>
          <w:rFonts w:hint="eastAsia"/>
        </w:rPr>
        <w:t>份时，该类基金份额余额部分基金份额必须一同赎回；</w:t>
      </w:r>
      <w:r>
        <w:rPr>
          <w:rFonts w:hint="eastAsia"/>
        </w:rPr>
        <w:t xml:space="preserve"> </w:t>
      </w:r>
    </w:p>
    <w:p w:rsidR="002803CC" w:rsidRDefault="00A01ACA">
      <w:pPr>
        <w:pStyle w:val="a3"/>
        <w:spacing w:before="0" w:beforeAutospacing="0" w:after="0" w:afterAutospacing="0" w:line="360" w:lineRule="auto"/>
        <w:ind w:firstLine="420"/>
      </w:pPr>
      <w:r>
        <w:rPr>
          <w:rFonts w:hint="eastAsia"/>
        </w:rPr>
        <w:t>投资人通过销售机构赎回基金份额时，本基金单笔某一类基金份额赎回申请不得低于</w:t>
      </w:r>
      <w:r>
        <w:rPr>
          <w:rFonts w:hint="eastAsia"/>
        </w:rPr>
        <w:t>1</w:t>
      </w:r>
      <w:r>
        <w:rPr>
          <w:rFonts w:hint="eastAsia"/>
        </w:rPr>
        <w:t>份，若投资者单个交易账户持有的某类基金份额余额不足</w:t>
      </w:r>
      <w:r>
        <w:rPr>
          <w:rFonts w:hint="eastAsia"/>
        </w:rPr>
        <w:t>1</w:t>
      </w:r>
      <w:r>
        <w:rPr>
          <w:rFonts w:hint="eastAsia"/>
        </w:rPr>
        <w:t>份，将不受此限制，但投资</w:t>
      </w:r>
      <w:r>
        <w:rPr>
          <w:rFonts w:hint="eastAsia"/>
        </w:rPr>
        <w:t>者在提交赎回申请时须将该类基金份额全部赎回。各销售机构在符合上述规定的前提下，可根据自己的情况调整单笔赎回申请限制，具体以销售机构公布的为准，投资人需遵循销售机构的相关规定。</w:t>
      </w:r>
      <w:r>
        <w:rPr>
          <w:rFonts w:hint="eastAsia"/>
        </w:rPr>
        <w:t xml:space="preserve"> </w:t>
      </w:r>
    </w:p>
    <w:p w:rsidR="002803CC" w:rsidRDefault="00A01ACA">
      <w:pPr>
        <w:pStyle w:val="3"/>
        <w:rPr>
          <w:rFonts w:ascii="宋体" w:eastAsia="宋体" w:hAnsi="宋体"/>
          <w:sz w:val="24"/>
        </w:rPr>
      </w:pPr>
      <w:r>
        <w:rPr>
          <w:rFonts w:ascii="宋体" w:eastAsia="宋体" w:hAnsi="宋体"/>
          <w:sz w:val="24"/>
        </w:rPr>
        <w:t>4.2</w:t>
      </w:r>
      <w:r>
        <w:rPr>
          <w:rFonts w:ascii="宋体" w:eastAsia="宋体" w:hAnsi="宋体"/>
          <w:sz w:val="24"/>
        </w:rPr>
        <w:t>赎回费率</w:t>
      </w:r>
    </w:p>
    <w:p w:rsidR="002803CC" w:rsidRDefault="00A01ACA">
      <w:pPr>
        <w:ind w:firstLineChars="750" w:firstLine="1800"/>
        <w:rPr>
          <w:rFonts w:ascii="宋体" w:eastAsia="宋体" w:hAnsi="宋体" w:cs="宋体"/>
          <w:kern w:val="0"/>
          <w:sz w:val="24"/>
          <w:szCs w:val="24"/>
        </w:rPr>
      </w:pPr>
      <w:r>
        <w:rPr>
          <w:rFonts w:ascii="宋体" w:eastAsia="宋体" w:hAnsi="宋体" w:cs="宋体" w:hint="eastAsia"/>
          <w:kern w:val="0"/>
          <w:sz w:val="24"/>
          <w:szCs w:val="24"/>
        </w:rPr>
        <w:t>表：本基金</w:t>
      </w:r>
      <w:r>
        <w:rPr>
          <w:rFonts w:ascii="宋体" w:eastAsia="宋体" w:hAnsi="宋体" w:cs="宋体" w:hint="eastAsia"/>
          <w:kern w:val="0"/>
          <w:sz w:val="24"/>
          <w:szCs w:val="24"/>
        </w:rPr>
        <w:t>A</w:t>
      </w:r>
      <w:r>
        <w:rPr>
          <w:rFonts w:ascii="宋体" w:eastAsia="宋体" w:hAnsi="宋体" w:cs="宋体" w:hint="eastAsia"/>
          <w:kern w:val="0"/>
          <w:sz w:val="24"/>
          <w:szCs w:val="24"/>
        </w:rPr>
        <w:t>、</w:t>
      </w:r>
      <w:r>
        <w:rPr>
          <w:rFonts w:ascii="宋体" w:eastAsia="宋体" w:hAnsi="宋体" w:cs="宋体" w:hint="eastAsia"/>
          <w:kern w:val="0"/>
          <w:sz w:val="24"/>
          <w:szCs w:val="24"/>
        </w:rPr>
        <w:t>C</w:t>
      </w:r>
      <w:r>
        <w:rPr>
          <w:rFonts w:ascii="宋体" w:eastAsia="宋体" w:hAnsi="宋体" w:cs="宋体" w:hint="eastAsia"/>
          <w:kern w:val="0"/>
          <w:sz w:val="24"/>
          <w:szCs w:val="24"/>
        </w:rPr>
        <w:t>类基金份额的赎回费率表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5"/>
        <w:gridCol w:w="2596"/>
        <w:gridCol w:w="2661"/>
      </w:tblGrid>
      <w:tr w:rsidR="002803CC">
        <w:trPr>
          <w:trHeight w:val="340"/>
          <w:jc w:val="center"/>
        </w:trPr>
        <w:tc>
          <w:tcPr>
            <w:tcW w:w="3265" w:type="dxa"/>
            <w:vAlign w:val="bottom"/>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持有期（</w:t>
            </w:r>
            <w:r>
              <w:rPr>
                <w:rFonts w:ascii="宋体" w:eastAsia="宋体" w:hAnsi="宋体" w:cs="宋体" w:hint="eastAsia"/>
                <w:kern w:val="0"/>
                <w:sz w:val="24"/>
                <w:szCs w:val="24"/>
              </w:rPr>
              <w:t>Y</w:t>
            </w:r>
            <w:r>
              <w:rPr>
                <w:rFonts w:ascii="宋体" w:eastAsia="宋体" w:hAnsi="宋体" w:cs="宋体" w:hint="eastAsia"/>
                <w:kern w:val="0"/>
                <w:sz w:val="24"/>
                <w:szCs w:val="24"/>
              </w:rPr>
              <w:t>）</w:t>
            </w:r>
          </w:p>
        </w:tc>
        <w:tc>
          <w:tcPr>
            <w:tcW w:w="2596" w:type="dxa"/>
            <w:vAlign w:val="bottom"/>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类基金份额赎回费率</w:t>
            </w:r>
          </w:p>
        </w:tc>
        <w:tc>
          <w:tcPr>
            <w:tcW w:w="2661" w:type="dxa"/>
            <w:vAlign w:val="center"/>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类基金份额赎回费率</w:t>
            </w:r>
          </w:p>
        </w:tc>
      </w:tr>
      <w:tr w:rsidR="002803CC">
        <w:trPr>
          <w:trHeight w:val="340"/>
          <w:jc w:val="center"/>
        </w:trPr>
        <w:tc>
          <w:tcPr>
            <w:tcW w:w="3265" w:type="dxa"/>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Y</w:t>
            </w:r>
            <w:r>
              <w:rPr>
                <w:rFonts w:ascii="宋体" w:eastAsia="宋体" w:hAnsi="宋体" w:cs="宋体" w:hint="eastAsia"/>
                <w:kern w:val="0"/>
                <w:sz w:val="24"/>
                <w:szCs w:val="24"/>
              </w:rPr>
              <w:t>＜</w:t>
            </w:r>
            <w:r>
              <w:rPr>
                <w:rFonts w:ascii="宋体" w:eastAsia="宋体" w:hAnsi="宋体" w:cs="宋体" w:hint="eastAsia"/>
                <w:kern w:val="0"/>
                <w:sz w:val="24"/>
                <w:szCs w:val="24"/>
              </w:rPr>
              <w:t>7</w:t>
            </w:r>
            <w:r>
              <w:rPr>
                <w:rFonts w:ascii="宋体" w:eastAsia="宋体" w:hAnsi="宋体" w:cs="宋体" w:hint="eastAsia"/>
                <w:kern w:val="0"/>
                <w:sz w:val="24"/>
                <w:szCs w:val="24"/>
              </w:rPr>
              <w:t>日</w:t>
            </w:r>
          </w:p>
        </w:tc>
        <w:tc>
          <w:tcPr>
            <w:tcW w:w="2596" w:type="dxa"/>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1.50%</w:t>
            </w:r>
          </w:p>
        </w:tc>
        <w:tc>
          <w:tcPr>
            <w:tcW w:w="2661" w:type="dxa"/>
            <w:vAlign w:val="center"/>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1.50%</w:t>
            </w:r>
          </w:p>
        </w:tc>
      </w:tr>
      <w:tr w:rsidR="002803CC">
        <w:trPr>
          <w:trHeight w:val="340"/>
          <w:jc w:val="center"/>
        </w:trPr>
        <w:tc>
          <w:tcPr>
            <w:tcW w:w="3265" w:type="dxa"/>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日≤</w:t>
            </w:r>
            <w:r>
              <w:rPr>
                <w:rFonts w:ascii="宋体" w:eastAsia="宋体" w:hAnsi="宋体" w:cs="宋体" w:hint="eastAsia"/>
                <w:kern w:val="0"/>
                <w:sz w:val="24"/>
                <w:szCs w:val="24"/>
              </w:rPr>
              <w:t>Y</w:t>
            </w:r>
            <w:r>
              <w:rPr>
                <w:rFonts w:ascii="宋体" w:eastAsia="宋体" w:hAnsi="宋体" w:cs="宋体" w:hint="eastAsia"/>
                <w:kern w:val="0"/>
                <w:sz w:val="24"/>
                <w:szCs w:val="24"/>
              </w:rPr>
              <w:t>＜</w:t>
            </w:r>
            <w:r>
              <w:rPr>
                <w:rFonts w:ascii="宋体" w:eastAsia="宋体" w:hAnsi="宋体" w:cs="宋体" w:hint="eastAsia"/>
                <w:kern w:val="0"/>
                <w:sz w:val="24"/>
                <w:szCs w:val="24"/>
              </w:rPr>
              <w:t>30</w:t>
            </w:r>
            <w:r>
              <w:rPr>
                <w:rFonts w:ascii="宋体" w:eastAsia="宋体" w:hAnsi="宋体" w:cs="宋体" w:hint="eastAsia"/>
                <w:kern w:val="0"/>
                <w:sz w:val="24"/>
                <w:szCs w:val="24"/>
              </w:rPr>
              <w:t>日</w:t>
            </w:r>
          </w:p>
        </w:tc>
        <w:tc>
          <w:tcPr>
            <w:tcW w:w="2596" w:type="dxa"/>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0.75%</w:t>
            </w:r>
          </w:p>
        </w:tc>
        <w:tc>
          <w:tcPr>
            <w:tcW w:w="2661" w:type="dxa"/>
            <w:vAlign w:val="center"/>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0.50%</w:t>
            </w:r>
          </w:p>
        </w:tc>
      </w:tr>
      <w:tr w:rsidR="002803CC">
        <w:trPr>
          <w:trHeight w:val="340"/>
          <w:jc w:val="center"/>
        </w:trPr>
        <w:tc>
          <w:tcPr>
            <w:tcW w:w="3265" w:type="dxa"/>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30</w:t>
            </w:r>
            <w:r>
              <w:rPr>
                <w:rFonts w:ascii="宋体" w:eastAsia="宋体" w:hAnsi="宋体" w:cs="宋体" w:hint="eastAsia"/>
                <w:kern w:val="0"/>
                <w:sz w:val="24"/>
                <w:szCs w:val="24"/>
              </w:rPr>
              <w:t>日≤</w:t>
            </w:r>
            <w:r>
              <w:rPr>
                <w:rFonts w:ascii="宋体" w:eastAsia="宋体" w:hAnsi="宋体" w:cs="宋体" w:hint="eastAsia"/>
                <w:kern w:val="0"/>
                <w:sz w:val="24"/>
                <w:szCs w:val="24"/>
              </w:rPr>
              <w:t>Y</w:t>
            </w:r>
            <w:r>
              <w:rPr>
                <w:rFonts w:ascii="宋体" w:eastAsia="宋体" w:hAnsi="宋体" w:cs="宋体" w:hint="eastAsia"/>
                <w:kern w:val="0"/>
                <w:sz w:val="24"/>
                <w:szCs w:val="24"/>
              </w:rPr>
              <w:t>＜</w:t>
            </w:r>
            <w:r>
              <w:rPr>
                <w:rFonts w:ascii="宋体" w:eastAsia="宋体" w:hAnsi="宋体" w:cs="宋体" w:hint="eastAsia"/>
                <w:kern w:val="0"/>
                <w:sz w:val="24"/>
                <w:szCs w:val="24"/>
              </w:rPr>
              <w:t>6</w:t>
            </w:r>
            <w:r>
              <w:rPr>
                <w:rFonts w:ascii="宋体" w:eastAsia="宋体" w:hAnsi="宋体" w:cs="宋体" w:hint="eastAsia"/>
                <w:kern w:val="0"/>
                <w:sz w:val="24"/>
                <w:szCs w:val="24"/>
              </w:rPr>
              <w:t>个月</w:t>
            </w:r>
          </w:p>
        </w:tc>
        <w:tc>
          <w:tcPr>
            <w:tcW w:w="2596" w:type="dxa"/>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0.50%</w:t>
            </w:r>
          </w:p>
        </w:tc>
        <w:tc>
          <w:tcPr>
            <w:tcW w:w="2661" w:type="dxa"/>
            <w:vMerge w:val="restart"/>
            <w:vAlign w:val="center"/>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0.00%</w:t>
            </w:r>
          </w:p>
        </w:tc>
      </w:tr>
      <w:tr w:rsidR="002803CC">
        <w:trPr>
          <w:trHeight w:val="340"/>
          <w:jc w:val="center"/>
        </w:trPr>
        <w:tc>
          <w:tcPr>
            <w:tcW w:w="3265" w:type="dxa"/>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Y</w:t>
            </w:r>
            <w:r>
              <w:rPr>
                <w:rFonts w:ascii="宋体" w:eastAsia="宋体" w:hAnsi="宋体" w:cs="宋体" w:hint="eastAsia"/>
                <w:kern w:val="0"/>
                <w:sz w:val="24"/>
                <w:szCs w:val="24"/>
              </w:rPr>
              <w:t>≥</w:t>
            </w:r>
            <w:r>
              <w:rPr>
                <w:rFonts w:ascii="宋体" w:eastAsia="宋体" w:hAnsi="宋体" w:cs="宋体" w:hint="eastAsia"/>
                <w:kern w:val="0"/>
                <w:sz w:val="24"/>
                <w:szCs w:val="24"/>
              </w:rPr>
              <w:t>6</w:t>
            </w:r>
            <w:r>
              <w:rPr>
                <w:rFonts w:ascii="宋体" w:eastAsia="宋体" w:hAnsi="宋体" w:cs="宋体" w:hint="eastAsia"/>
                <w:kern w:val="0"/>
                <w:sz w:val="24"/>
                <w:szCs w:val="24"/>
              </w:rPr>
              <w:t>个月</w:t>
            </w:r>
          </w:p>
        </w:tc>
        <w:tc>
          <w:tcPr>
            <w:tcW w:w="2596" w:type="dxa"/>
          </w:tcPr>
          <w:p w:rsidR="002803CC" w:rsidRDefault="00A01ACA">
            <w:pPr>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0.00%</w:t>
            </w:r>
          </w:p>
        </w:tc>
        <w:tc>
          <w:tcPr>
            <w:tcW w:w="2661" w:type="dxa"/>
            <w:vMerge/>
            <w:vAlign w:val="center"/>
          </w:tcPr>
          <w:p w:rsidR="002803CC" w:rsidRDefault="002803CC">
            <w:pPr>
              <w:widowControl/>
              <w:spacing w:line="336" w:lineRule="auto"/>
              <w:jc w:val="center"/>
              <w:rPr>
                <w:rFonts w:ascii="宋体" w:eastAsia="宋体" w:hAnsi="宋体" w:cs="宋体"/>
                <w:kern w:val="0"/>
                <w:sz w:val="24"/>
                <w:szCs w:val="24"/>
              </w:rPr>
            </w:pPr>
          </w:p>
        </w:tc>
      </w:tr>
    </w:tbl>
    <w:p w:rsidR="002803CC" w:rsidRDefault="00A01ACA">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注：</w:t>
      </w:r>
      <w:r>
        <w:rPr>
          <w:rFonts w:ascii="宋体" w:eastAsia="宋体" w:hAnsi="宋体" w:cs="宋体" w:hint="eastAsia"/>
          <w:kern w:val="0"/>
          <w:sz w:val="24"/>
          <w:szCs w:val="24"/>
        </w:rPr>
        <w:t>1</w:t>
      </w:r>
      <w:r>
        <w:rPr>
          <w:rFonts w:ascii="宋体" w:eastAsia="宋体" w:hAnsi="宋体" w:cs="宋体" w:hint="eastAsia"/>
          <w:kern w:val="0"/>
          <w:sz w:val="24"/>
          <w:szCs w:val="24"/>
        </w:rPr>
        <w:t>个月指</w:t>
      </w:r>
      <w:r>
        <w:rPr>
          <w:rFonts w:ascii="宋体" w:eastAsia="宋体" w:hAnsi="宋体" w:cs="宋体" w:hint="eastAsia"/>
          <w:kern w:val="0"/>
          <w:sz w:val="24"/>
          <w:szCs w:val="24"/>
        </w:rPr>
        <w:t>30</w:t>
      </w:r>
      <w:r>
        <w:rPr>
          <w:rFonts w:ascii="宋体" w:eastAsia="宋体" w:hAnsi="宋体" w:cs="宋体" w:hint="eastAsia"/>
          <w:kern w:val="0"/>
          <w:sz w:val="24"/>
          <w:szCs w:val="24"/>
        </w:rPr>
        <w:t>日</w:t>
      </w:r>
    </w:p>
    <w:p w:rsidR="002803CC" w:rsidRDefault="00A01ACA">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本基金赎回费用由赎回基金份额的基金份额持有人承担，在基金份额持有人赎回基金份额时收取。对于</w:t>
      </w:r>
      <w:r>
        <w:rPr>
          <w:rFonts w:ascii="宋体" w:eastAsia="宋体" w:hAnsi="宋体" w:cs="宋体" w:hint="eastAsia"/>
          <w:kern w:val="0"/>
          <w:sz w:val="24"/>
          <w:szCs w:val="24"/>
        </w:rPr>
        <w:t>A</w:t>
      </w:r>
      <w:r>
        <w:rPr>
          <w:rFonts w:ascii="宋体" w:eastAsia="宋体" w:hAnsi="宋体" w:cs="宋体" w:hint="eastAsia"/>
          <w:kern w:val="0"/>
          <w:sz w:val="24"/>
          <w:szCs w:val="24"/>
        </w:rPr>
        <w:t>类基金份额，本基金对持续持有期少于</w:t>
      </w:r>
      <w:r>
        <w:rPr>
          <w:rFonts w:ascii="宋体" w:eastAsia="宋体" w:hAnsi="宋体" w:cs="宋体" w:hint="eastAsia"/>
          <w:kern w:val="0"/>
          <w:sz w:val="24"/>
          <w:szCs w:val="24"/>
        </w:rPr>
        <w:t>30</w:t>
      </w:r>
      <w:r>
        <w:rPr>
          <w:rFonts w:ascii="宋体" w:eastAsia="宋体" w:hAnsi="宋体" w:cs="宋体" w:hint="eastAsia"/>
          <w:kern w:val="0"/>
          <w:sz w:val="24"/>
          <w:szCs w:val="24"/>
        </w:rPr>
        <w:t>日的投资人收取的赎回费，全额计入基金资产；对持续持有期不少于</w:t>
      </w:r>
      <w:r>
        <w:rPr>
          <w:rFonts w:ascii="宋体" w:eastAsia="宋体" w:hAnsi="宋体" w:cs="宋体" w:hint="eastAsia"/>
          <w:kern w:val="0"/>
          <w:sz w:val="24"/>
          <w:szCs w:val="24"/>
        </w:rPr>
        <w:t>30</w:t>
      </w:r>
      <w:r>
        <w:rPr>
          <w:rFonts w:ascii="宋体" w:eastAsia="宋体" w:hAnsi="宋体" w:cs="宋体" w:hint="eastAsia"/>
          <w:kern w:val="0"/>
          <w:sz w:val="24"/>
          <w:szCs w:val="24"/>
        </w:rPr>
        <w:t>日但少于</w:t>
      </w:r>
      <w:r>
        <w:rPr>
          <w:rFonts w:ascii="宋体" w:eastAsia="宋体" w:hAnsi="宋体" w:cs="宋体" w:hint="eastAsia"/>
          <w:kern w:val="0"/>
          <w:sz w:val="24"/>
          <w:szCs w:val="24"/>
        </w:rPr>
        <w:t>3</w:t>
      </w:r>
      <w:r>
        <w:rPr>
          <w:rFonts w:ascii="宋体" w:eastAsia="宋体" w:hAnsi="宋体" w:cs="宋体" w:hint="eastAsia"/>
          <w:kern w:val="0"/>
          <w:sz w:val="24"/>
          <w:szCs w:val="24"/>
        </w:rPr>
        <w:t>个月的投资人收取的赎回费，</w:t>
      </w:r>
      <w:r>
        <w:rPr>
          <w:rFonts w:ascii="宋体" w:eastAsia="宋体" w:hAnsi="宋体" w:cs="宋体" w:hint="eastAsia"/>
          <w:kern w:val="0"/>
          <w:sz w:val="24"/>
          <w:szCs w:val="24"/>
        </w:rPr>
        <w:t>75%</w:t>
      </w:r>
      <w:r>
        <w:rPr>
          <w:rFonts w:ascii="宋体" w:eastAsia="宋体" w:hAnsi="宋体" w:cs="宋体" w:hint="eastAsia"/>
          <w:kern w:val="0"/>
          <w:sz w:val="24"/>
          <w:szCs w:val="24"/>
        </w:rPr>
        <w:t>计入基金资产；对持续持有期不少于</w:t>
      </w:r>
      <w:r>
        <w:rPr>
          <w:rFonts w:ascii="宋体" w:eastAsia="宋体" w:hAnsi="宋体" w:cs="宋体" w:hint="eastAsia"/>
          <w:kern w:val="0"/>
          <w:sz w:val="24"/>
          <w:szCs w:val="24"/>
        </w:rPr>
        <w:t>3</w:t>
      </w:r>
      <w:r>
        <w:rPr>
          <w:rFonts w:ascii="宋体" w:eastAsia="宋体" w:hAnsi="宋体" w:cs="宋体" w:hint="eastAsia"/>
          <w:kern w:val="0"/>
          <w:sz w:val="24"/>
          <w:szCs w:val="24"/>
        </w:rPr>
        <w:t>个月但少于</w:t>
      </w:r>
      <w:r>
        <w:rPr>
          <w:rFonts w:ascii="宋体" w:eastAsia="宋体" w:hAnsi="宋体" w:cs="宋体" w:hint="eastAsia"/>
          <w:kern w:val="0"/>
          <w:sz w:val="24"/>
          <w:szCs w:val="24"/>
        </w:rPr>
        <w:t>6</w:t>
      </w:r>
      <w:r>
        <w:rPr>
          <w:rFonts w:ascii="宋体" w:eastAsia="宋体" w:hAnsi="宋体" w:cs="宋体" w:hint="eastAsia"/>
          <w:kern w:val="0"/>
          <w:sz w:val="24"/>
          <w:szCs w:val="24"/>
        </w:rPr>
        <w:t>个月的投资人收取的赎回费，</w:t>
      </w:r>
      <w:r>
        <w:rPr>
          <w:rFonts w:ascii="宋体" w:eastAsia="宋体" w:hAnsi="宋体" w:cs="宋体" w:hint="eastAsia"/>
          <w:kern w:val="0"/>
          <w:sz w:val="24"/>
          <w:szCs w:val="24"/>
        </w:rPr>
        <w:t>50%</w:t>
      </w:r>
      <w:r>
        <w:rPr>
          <w:rFonts w:ascii="宋体" w:eastAsia="宋体" w:hAnsi="宋体" w:cs="宋体" w:hint="eastAsia"/>
          <w:kern w:val="0"/>
          <w:sz w:val="24"/>
          <w:szCs w:val="24"/>
        </w:rPr>
        <w:t>计入基金资产。对于</w:t>
      </w:r>
      <w:r>
        <w:rPr>
          <w:rFonts w:ascii="宋体" w:eastAsia="宋体" w:hAnsi="宋体" w:cs="宋体" w:hint="eastAsia"/>
          <w:kern w:val="0"/>
          <w:sz w:val="24"/>
          <w:szCs w:val="24"/>
        </w:rPr>
        <w:t>C</w:t>
      </w:r>
      <w:r>
        <w:rPr>
          <w:rFonts w:ascii="宋体" w:eastAsia="宋体" w:hAnsi="宋体" w:cs="宋体" w:hint="eastAsia"/>
          <w:kern w:val="0"/>
          <w:sz w:val="24"/>
          <w:szCs w:val="24"/>
        </w:rPr>
        <w:t>类基金份额，对持续持有期少于</w:t>
      </w:r>
      <w:r>
        <w:rPr>
          <w:rFonts w:ascii="宋体" w:eastAsia="宋体" w:hAnsi="宋体" w:cs="宋体" w:hint="eastAsia"/>
          <w:kern w:val="0"/>
          <w:sz w:val="24"/>
          <w:szCs w:val="24"/>
        </w:rPr>
        <w:t>30</w:t>
      </w:r>
      <w:r>
        <w:rPr>
          <w:rFonts w:ascii="宋体" w:eastAsia="宋体" w:hAnsi="宋体" w:cs="宋体" w:hint="eastAsia"/>
          <w:kern w:val="0"/>
          <w:sz w:val="24"/>
          <w:szCs w:val="24"/>
        </w:rPr>
        <w:t>日的投资人收取的赎回费全额计入基金财产。赎回费未归入基金财产的部分用于支付登记费和其他必要的手续费。</w:t>
      </w:r>
    </w:p>
    <w:p w:rsidR="002803CC" w:rsidRDefault="00A01ACA">
      <w:pPr>
        <w:adjustRightInd w:val="0"/>
        <w:snapToGrid w:val="0"/>
        <w:spacing w:line="360" w:lineRule="auto"/>
        <w:ind w:firstLineChars="200" w:firstLine="480"/>
      </w:pPr>
      <w:r>
        <w:rPr>
          <w:rFonts w:ascii="宋体" w:eastAsia="宋体" w:hAnsi="宋体" w:cs="宋体" w:hint="eastAsia"/>
          <w:kern w:val="0"/>
          <w:sz w:val="24"/>
          <w:szCs w:val="24"/>
        </w:rPr>
        <w:lastRenderedPageBreak/>
        <w:t>基金管理人可以针对特定投资人（如养老金客户等</w:t>
      </w:r>
      <w:r>
        <w:rPr>
          <w:rFonts w:ascii="宋体" w:eastAsia="宋体" w:hAnsi="宋体" w:cs="宋体" w:hint="eastAsia"/>
          <w:kern w:val="0"/>
          <w:sz w:val="24"/>
          <w:szCs w:val="24"/>
        </w:rPr>
        <w:t>）开展费率优惠活动，具体见基金管理人相关公告。</w:t>
      </w:r>
    </w:p>
    <w:p w:rsidR="002803CC" w:rsidRDefault="00A01ACA">
      <w:pPr>
        <w:pStyle w:val="3"/>
        <w:rPr>
          <w:rFonts w:ascii="宋体" w:eastAsia="宋体" w:hAnsi="宋体"/>
          <w:sz w:val="24"/>
        </w:rPr>
      </w:pPr>
      <w:r>
        <w:rPr>
          <w:rFonts w:ascii="宋体" w:eastAsia="宋体" w:hAnsi="宋体" w:hint="eastAsia"/>
          <w:sz w:val="24"/>
        </w:rPr>
        <w:t>4.3</w:t>
      </w:r>
      <w:r>
        <w:rPr>
          <w:rFonts w:ascii="宋体" w:eastAsia="宋体" w:hAnsi="宋体" w:hint="eastAsia"/>
          <w:sz w:val="24"/>
        </w:rPr>
        <w:t>其他与赎回相关的事项</w:t>
      </w:r>
    </w:p>
    <w:p w:rsidR="002803CC" w:rsidRDefault="00A01ACA">
      <w:pPr>
        <w:pStyle w:val="a3"/>
        <w:spacing w:before="0" w:beforeAutospacing="0" w:after="0" w:afterAutospacing="0" w:line="360" w:lineRule="auto"/>
        <w:ind w:firstLine="420"/>
      </w:pPr>
      <w:r>
        <w:rPr>
          <w:rFonts w:hint="eastAsia"/>
        </w:rPr>
        <w:t>（</w:t>
      </w:r>
      <w:r>
        <w:rPr>
          <w:rFonts w:hint="eastAsia"/>
        </w:rPr>
        <w:t>1</w:t>
      </w:r>
      <w:r>
        <w:rPr>
          <w:rFonts w:hint="eastAsia"/>
        </w:rPr>
        <w:t>）基金管理人可根据有关法律规定和市场情况，调整赎回金额的数量限制，基金管理人必须最迟在调整前依照《公开募集证券投资基金信息披露管理办法》的有关规定在规定媒介上公告。</w:t>
      </w:r>
      <w:r>
        <w:rPr>
          <w:rFonts w:hint="eastAsia"/>
        </w:rPr>
        <w:t xml:space="preserve"> </w:t>
      </w:r>
    </w:p>
    <w:p w:rsidR="002803CC" w:rsidRDefault="00A01ACA">
      <w:pPr>
        <w:pStyle w:val="a3"/>
        <w:spacing w:before="0" w:beforeAutospacing="0" w:after="0" w:afterAutospacing="0" w:line="360" w:lineRule="auto"/>
        <w:ind w:firstLine="420"/>
      </w:pPr>
      <w:r>
        <w:rPr>
          <w:rFonts w:hint="eastAsia"/>
        </w:rPr>
        <w:t>（</w:t>
      </w:r>
      <w:r>
        <w:rPr>
          <w:rFonts w:hint="eastAsia"/>
        </w:rPr>
        <w:t>2</w:t>
      </w:r>
      <w:r>
        <w:rPr>
          <w:rFonts w:hint="eastAsia"/>
        </w:rPr>
        <w:t>）基金管理人可以在法律法规和基金合同规定范围内调整赎回费率。费率如发生变更，基金管理人应在调整前依照《公开募集证券投资基金信息披露管理办法》的有关规定在规定媒介上公告。</w:t>
      </w:r>
      <w:r>
        <w:rPr>
          <w:rFonts w:hint="eastAsia"/>
        </w:rPr>
        <w:t xml:space="preserve"> </w:t>
      </w:r>
    </w:p>
    <w:p w:rsidR="002803CC" w:rsidRDefault="00A01ACA">
      <w:pPr>
        <w:pStyle w:val="2"/>
        <w:rPr>
          <w:rFonts w:ascii="宋体" w:eastAsia="宋体" w:hAnsi="宋体"/>
          <w:sz w:val="24"/>
        </w:rPr>
      </w:pPr>
      <w:r>
        <w:rPr>
          <w:rFonts w:ascii="宋体" w:eastAsia="宋体" w:hAnsi="宋体"/>
          <w:sz w:val="24"/>
        </w:rPr>
        <w:t>5</w:t>
      </w:r>
      <w:r>
        <w:rPr>
          <w:rFonts w:ascii="宋体" w:eastAsia="宋体" w:hAnsi="宋体"/>
          <w:sz w:val="24"/>
        </w:rPr>
        <w:t>、日常转换业务</w:t>
      </w:r>
    </w:p>
    <w:p w:rsidR="002803CC" w:rsidRDefault="00A01ACA">
      <w:pPr>
        <w:pStyle w:val="3"/>
        <w:rPr>
          <w:rFonts w:ascii="宋体" w:eastAsia="宋体" w:hAnsi="宋体"/>
          <w:sz w:val="24"/>
        </w:rPr>
      </w:pPr>
      <w:r>
        <w:rPr>
          <w:rFonts w:ascii="宋体" w:eastAsia="宋体" w:hAnsi="宋体" w:hint="eastAsia"/>
          <w:sz w:val="24"/>
        </w:rPr>
        <w:t>5.1</w:t>
      </w:r>
      <w:r>
        <w:rPr>
          <w:rFonts w:ascii="宋体" w:eastAsia="宋体" w:hAnsi="宋体" w:hint="eastAsia"/>
          <w:sz w:val="24"/>
        </w:rPr>
        <w:t>转换费率</w:t>
      </w:r>
    </w:p>
    <w:p w:rsidR="002803CC" w:rsidRDefault="00A01ACA">
      <w:pPr>
        <w:pStyle w:val="a3"/>
        <w:spacing w:before="0" w:beforeAutospacing="0" w:after="0" w:afterAutospacing="0" w:line="360" w:lineRule="auto"/>
        <w:ind w:firstLine="420"/>
      </w:pPr>
      <w:r>
        <w:rPr>
          <w:rFonts w:hint="eastAsia"/>
        </w:rPr>
        <w:t>基金转换费用由转出基金赎回费和申购费补差两部分构成，其</w:t>
      </w:r>
      <w:r>
        <w:rPr>
          <w:rFonts w:hint="eastAsia"/>
        </w:rPr>
        <w:t>中：申购费补差具体收取情况，视每次转换时的两只基金的申购费率的差异情况而定。基金转换费用由基金持有人承担。</w:t>
      </w:r>
      <w:r>
        <w:rPr>
          <w:rFonts w:hint="eastAsia"/>
        </w:rPr>
        <w:t xml:space="preserve"> </w:t>
      </w:r>
    </w:p>
    <w:p w:rsidR="002803CC" w:rsidRDefault="00A01ACA">
      <w:pPr>
        <w:pStyle w:val="3"/>
        <w:rPr>
          <w:rFonts w:ascii="宋体" w:eastAsia="宋体" w:hAnsi="宋体"/>
          <w:sz w:val="24"/>
        </w:rPr>
      </w:pPr>
      <w:r>
        <w:rPr>
          <w:rFonts w:ascii="宋体" w:eastAsia="宋体" w:hAnsi="宋体"/>
          <w:sz w:val="24"/>
        </w:rPr>
        <w:t>5.2</w:t>
      </w:r>
      <w:r>
        <w:rPr>
          <w:rFonts w:ascii="宋体" w:eastAsia="宋体" w:hAnsi="宋体"/>
          <w:sz w:val="24"/>
        </w:rPr>
        <w:t>其他与转换相关的事项</w:t>
      </w:r>
    </w:p>
    <w:p w:rsidR="002803CC" w:rsidRDefault="00A01ACA">
      <w:pPr>
        <w:pStyle w:val="a3"/>
        <w:spacing w:before="0" w:beforeAutospacing="0" w:after="0" w:afterAutospacing="0" w:line="360" w:lineRule="auto"/>
        <w:ind w:firstLine="420"/>
      </w:pPr>
      <w:r>
        <w:rPr>
          <w:rFonts w:hint="eastAsia"/>
        </w:rPr>
        <w:t>1</w:t>
      </w:r>
      <w:r>
        <w:rPr>
          <w:rFonts w:hint="eastAsia"/>
        </w:rPr>
        <w:t>）业务规则</w:t>
      </w:r>
      <w:r>
        <w:rPr>
          <w:rFonts w:hint="eastAsia"/>
        </w:rPr>
        <w:t xml:space="preserve"> </w:t>
      </w:r>
    </w:p>
    <w:p w:rsidR="002803CC" w:rsidRDefault="00A01ACA">
      <w:pPr>
        <w:pStyle w:val="a3"/>
        <w:spacing w:before="0" w:beforeAutospacing="0" w:after="0" w:afterAutospacing="0" w:line="360" w:lineRule="auto"/>
        <w:ind w:firstLine="420"/>
      </w:pPr>
      <w:r>
        <w:rPr>
          <w:rFonts w:hint="eastAsia"/>
        </w:rPr>
        <w:t>①基金转换只能在同一销售机构进行。转换的两只基金必须都是该销售机构代理的同一基金管理人管理的、在同一注册登记机构处注册登记的基金。</w:t>
      </w:r>
      <w:r>
        <w:rPr>
          <w:rFonts w:hint="eastAsia"/>
        </w:rPr>
        <w:t xml:space="preserve"> </w:t>
      </w:r>
    </w:p>
    <w:p w:rsidR="002803CC" w:rsidRDefault="00A01ACA">
      <w:pPr>
        <w:pStyle w:val="a3"/>
        <w:spacing w:before="0" w:beforeAutospacing="0" w:after="0" w:afterAutospacing="0" w:line="360" w:lineRule="auto"/>
        <w:ind w:firstLine="420"/>
      </w:pPr>
      <w:r>
        <w:rPr>
          <w:rFonts w:hint="eastAsia"/>
        </w:rPr>
        <w:t>②前端收费模式的开放式基金只能转换到前端收费模式的其它基金（申购费为零的基金视同为前端收费模式），后端收费模式的基金可以转换到前端或后端收费模式的其它基金，非</w:t>
      </w:r>
      <w:r>
        <w:rPr>
          <w:rFonts w:hint="eastAsia"/>
        </w:rPr>
        <w:t>QDII</w:t>
      </w:r>
      <w:r>
        <w:rPr>
          <w:rFonts w:hint="eastAsia"/>
        </w:rPr>
        <w:t>基金不能与</w:t>
      </w:r>
      <w:r>
        <w:rPr>
          <w:rFonts w:hint="eastAsia"/>
        </w:rPr>
        <w:t>QDII</w:t>
      </w:r>
      <w:r>
        <w:rPr>
          <w:rFonts w:hint="eastAsia"/>
        </w:rPr>
        <w:t>基金进行互转。</w:t>
      </w:r>
      <w:r>
        <w:rPr>
          <w:rFonts w:hint="eastAsia"/>
        </w:rPr>
        <w:t xml:space="preserve"> </w:t>
      </w:r>
    </w:p>
    <w:p w:rsidR="002803CC" w:rsidRDefault="00A01ACA">
      <w:pPr>
        <w:pStyle w:val="a3"/>
        <w:spacing w:before="0" w:beforeAutospacing="0" w:after="0" w:afterAutospacing="0" w:line="360" w:lineRule="auto"/>
        <w:ind w:firstLine="420"/>
      </w:pPr>
      <w:r>
        <w:rPr>
          <w:rFonts w:hint="eastAsia"/>
        </w:rPr>
        <w:t>③基金转换的目标基金份额按新交易计算持有时间。基金转出视为赎回，转入视为申购。基金转换后可赎回的时间为</w:t>
      </w:r>
      <w:r>
        <w:rPr>
          <w:rFonts w:hint="eastAsia"/>
        </w:rPr>
        <w:t>T</w:t>
      </w:r>
      <w:r>
        <w:rPr>
          <w:rFonts w:hint="eastAsia"/>
        </w:rPr>
        <w:t>＋</w:t>
      </w:r>
      <w:r>
        <w:rPr>
          <w:rFonts w:hint="eastAsia"/>
        </w:rPr>
        <w:t>2</w:t>
      </w:r>
      <w:r>
        <w:rPr>
          <w:rFonts w:hint="eastAsia"/>
        </w:rPr>
        <w:t>日。</w:t>
      </w:r>
      <w:r>
        <w:rPr>
          <w:rFonts w:hint="eastAsia"/>
        </w:rPr>
        <w:t xml:space="preserve"> </w:t>
      </w:r>
    </w:p>
    <w:p w:rsidR="002803CC" w:rsidRDefault="00A01ACA">
      <w:pPr>
        <w:pStyle w:val="a3"/>
        <w:spacing w:before="0" w:beforeAutospacing="0" w:after="0" w:afterAutospacing="0" w:line="360" w:lineRule="auto"/>
        <w:ind w:firstLine="420"/>
      </w:pPr>
      <w:r>
        <w:rPr>
          <w:rFonts w:hint="eastAsia"/>
        </w:rPr>
        <w:t>④基金分红时再投资的份额可在权益登记日的</w:t>
      </w:r>
      <w:r>
        <w:rPr>
          <w:rFonts w:hint="eastAsia"/>
        </w:rPr>
        <w:t>T</w:t>
      </w:r>
      <w:r>
        <w:rPr>
          <w:rFonts w:hint="eastAsia"/>
        </w:rPr>
        <w:t>＋</w:t>
      </w:r>
      <w:r>
        <w:rPr>
          <w:rFonts w:hint="eastAsia"/>
        </w:rPr>
        <w:t>2</w:t>
      </w:r>
      <w:r>
        <w:rPr>
          <w:rFonts w:hint="eastAsia"/>
        </w:rPr>
        <w:t>日提交基金转换申请。</w:t>
      </w:r>
      <w:r>
        <w:rPr>
          <w:rFonts w:hint="eastAsia"/>
        </w:rPr>
        <w:t xml:space="preserve"> </w:t>
      </w:r>
    </w:p>
    <w:p w:rsidR="002803CC" w:rsidRDefault="00A01ACA">
      <w:pPr>
        <w:pStyle w:val="a3"/>
        <w:spacing w:before="0" w:beforeAutospacing="0" w:after="0" w:afterAutospacing="0" w:line="360" w:lineRule="auto"/>
        <w:ind w:firstLine="420"/>
      </w:pPr>
      <w:r>
        <w:rPr>
          <w:rFonts w:hint="eastAsia"/>
        </w:rPr>
        <w:t>⑤基金转换以申请当日基金份额净值为基础计算。投资者采用“份额转换”的原则提交申请。转出基金份额必须是可用份额，并遵循“先进先出”的原则。</w:t>
      </w:r>
      <w:r>
        <w:rPr>
          <w:rFonts w:hint="eastAsia"/>
        </w:rPr>
        <w:t xml:space="preserve"> </w:t>
      </w:r>
    </w:p>
    <w:p w:rsidR="002803CC" w:rsidRDefault="00A01ACA">
      <w:pPr>
        <w:pStyle w:val="a3"/>
        <w:spacing w:before="0" w:beforeAutospacing="0" w:after="0" w:afterAutospacing="0" w:line="360" w:lineRule="auto"/>
        <w:ind w:firstLine="420"/>
      </w:pPr>
      <w:r>
        <w:rPr>
          <w:rFonts w:hint="eastAsia"/>
        </w:rPr>
        <w:t>2</w:t>
      </w:r>
      <w:r>
        <w:rPr>
          <w:rFonts w:hint="eastAsia"/>
        </w:rPr>
        <w:t>）暂停基金转换的情形及处理</w:t>
      </w:r>
      <w:r>
        <w:rPr>
          <w:rFonts w:hint="eastAsia"/>
        </w:rPr>
        <w:t xml:space="preserve"> </w:t>
      </w:r>
    </w:p>
    <w:p w:rsidR="002803CC" w:rsidRDefault="00A01ACA">
      <w:pPr>
        <w:pStyle w:val="a3"/>
        <w:spacing w:before="0" w:beforeAutospacing="0" w:after="0" w:afterAutospacing="0" w:line="360" w:lineRule="auto"/>
        <w:ind w:firstLine="420"/>
      </w:pPr>
      <w:r>
        <w:rPr>
          <w:rFonts w:hint="eastAsia"/>
        </w:rPr>
        <w:t>基金转换视同为转出基金的赎回和转入基金的申购，因此暂停基金转换适用有关转出基金和转入基金关于暂停或拒绝申购、暂停赎回的有关规定。</w:t>
      </w:r>
      <w:r>
        <w:rPr>
          <w:rFonts w:hint="eastAsia"/>
        </w:rPr>
        <w:t xml:space="preserve"> </w:t>
      </w:r>
    </w:p>
    <w:p w:rsidR="002803CC" w:rsidRDefault="00A01ACA">
      <w:pPr>
        <w:pStyle w:val="a3"/>
        <w:spacing w:before="0" w:beforeAutospacing="0" w:after="0" w:afterAutospacing="0" w:line="360" w:lineRule="auto"/>
        <w:ind w:firstLine="420"/>
      </w:pPr>
      <w:r>
        <w:rPr>
          <w:rFonts w:hint="eastAsia"/>
        </w:rPr>
        <w:t>出现法律、法规、规章规</w:t>
      </w:r>
      <w:r>
        <w:rPr>
          <w:rFonts w:hint="eastAsia"/>
        </w:rPr>
        <w:t>定的其它情形或其它在《基金合同》、《招募说明书》已载明并获中国证监会批准的特殊情形时，基金管理人可以暂停基金转换业务。</w:t>
      </w:r>
      <w:r>
        <w:rPr>
          <w:rFonts w:hint="eastAsia"/>
        </w:rPr>
        <w:t xml:space="preserve"> </w:t>
      </w:r>
    </w:p>
    <w:p w:rsidR="002803CC" w:rsidRDefault="00A01ACA">
      <w:pPr>
        <w:pStyle w:val="a3"/>
        <w:spacing w:before="0" w:beforeAutospacing="0" w:after="0" w:afterAutospacing="0" w:line="360" w:lineRule="auto"/>
        <w:ind w:firstLine="420"/>
      </w:pPr>
      <w:r>
        <w:rPr>
          <w:rFonts w:hint="eastAsia"/>
        </w:rPr>
        <w:t>3</w:t>
      </w:r>
      <w:r>
        <w:rPr>
          <w:rFonts w:hint="eastAsia"/>
        </w:rPr>
        <w:t>）重要提示</w:t>
      </w:r>
      <w:r>
        <w:rPr>
          <w:rFonts w:hint="eastAsia"/>
        </w:rPr>
        <w:t xml:space="preserve"> </w:t>
      </w:r>
    </w:p>
    <w:p w:rsidR="002803CC" w:rsidRDefault="00A01ACA">
      <w:pPr>
        <w:pStyle w:val="a3"/>
        <w:spacing w:before="0" w:beforeAutospacing="0" w:after="0" w:afterAutospacing="0" w:line="360" w:lineRule="auto"/>
        <w:ind w:firstLine="420"/>
      </w:pPr>
      <w:r>
        <w:rPr>
          <w:rFonts w:hint="eastAsia"/>
        </w:rPr>
        <w:t>①本基金转换业务适用于可以销售包括本基金在内的两只以上（含两只），且基金注册登记机构为同一机构的博时旗下基金的销售机构。</w:t>
      </w:r>
      <w:r>
        <w:rPr>
          <w:rFonts w:hint="eastAsia"/>
        </w:rPr>
        <w:t xml:space="preserve"> </w:t>
      </w:r>
    </w:p>
    <w:p w:rsidR="002803CC" w:rsidRDefault="00A01ACA">
      <w:pPr>
        <w:pStyle w:val="a3"/>
        <w:spacing w:before="0" w:beforeAutospacing="0" w:after="0" w:afterAutospacing="0" w:line="360" w:lineRule="auto"/>
        <w:ind w:firstLine="420"/>
      </w:pPr>
      <w:r>
        <w:rPr>
          <w:rFonts w:hint="eastAsia"/>
        </w:rPr>
        <w:t>②转换业务的收费计算公式及举例参见</w:t>
      </w:r>
      <w:r>
        <w:rPr>
          <w:rFonts w:hint="eastAsia"/>
        </w:rPr>
        <w:t>2010</w:t>
      </w:r>
      <w:r>
        <w:rPr>
          <w:rFonts w:hint="eastAsia"/>
        </w:rPr>
        <w:t>年</w:t>
      </w:r>
      <w:r>
        <w:rPr>
          <w:rFonts w:hint="eastAsia"/>
        </w:rPr>
        <w:t>3</w:t>
      </w:r>
      <w:r>
        <w:rPr>
          <w:rFonts w:hint="eastAsia"/>
        </w:rPr>
        <w:t>月</w:t>
      </w:r>
      <w:r>
        <w:rPr>
          <w:rFonts w:hint="eastAsia"/>
        </w:rPr>
        <w:t>16</w:t>
      </w:r>
      <w:r>
        <w:rPr>
          <w:rFonts w:hint="eastAsia"/>
        </w:rPr>
        <w:t>日刊登于本公司网站的《博时基金管理有限公司关于旗下开放式基金转换业务的公告》。</w:t>
      </w:r>
      <w:r>
        <w:rPr>
          <w:rFonts w:hint="eastAsia"/>
        </w:rPr>
        <w:t xml:space="preserve"> </w:t>
      </w:r>
    </w:p>
    <w:p w:rsidR="002803CC" w:rsidRDefault="00A01ACA">
      <w:pPr>
        <w:pStyle w:val="a3"/>
        <w:spacing w:before="0" w:beforeAutospacing="0" w:after="0" w:afterAutospacing="0" w:line="360" w:lineRule="auto"/>
        <w:ind w:firstLine="420"/>
      </w:pPr>
      <w:r>
        <w:rPr>
          <w:rFonts w:hint="eastAsia"/>
        </w:rPr>
        <w:t>③本公司管理基金的转换业务的解释权归本公司。</w:t>
      </w:r>
      <w:r>
        <w:rPr>
          <w:rFonts w:hint="eastAsia"/>
        </w:rPr>
        <w:t xml:space="preserve"> </w:t>
      </w:r>
    </w:p>
    <w:p w:rsidR="002803CC" w:rsidRDefault="00A01ACA">
      <w:pPr>
        <w:pStyle w:val="2"/>
        <w:rPr>
          <w:rFonts w:ascii="宋体" w:eastAsia="宋体" w:hAnsi="宋体"/>
          <w:sz w:val="24"/>
        </w:rPr>
      </w:pPr>
      <w:r>
        <w:rPr>
          <w:rFonts w:ascii="宋体" w:eastAsia="宋体" w:hAnsi="宋体"/>
          <w:sz w:val="24"/>
        </w:rPr>
        <w:t>6</w:t>
      </w:r>
      <w:r>
        <w:rPr>
          <w:rFonts w:ascii="宋体" w:eastAsia="宋体" w:hAnsi="宋体"/>
          <w:sz w:val="24"/>
        </w:rPr>
        <w:t>、定期定额投资业务</w:t>
      </w:r>
    </w:p>
    <w:p w:rsidR="002803CC" w:rsidRDefault="00A01ACA">
      <w:pPr>
        <w:pStyle w:val="a3"/>
        <w:spacing w:before="0" w:beforeAutospacing="0" w:after="0" w:afterAutospacing="0" w:line="360" w:lineRule="auto"/>
        <w:ind w:firstLine="420"/>
      </w:pPr>
      <w:r>
        <w:rPr>
          <w:rFonts w:hint="eastAsia"/>
        </w:rPr>
        <w:t>（</w:t>
      </w:r>
      <w:r>
        <w:rPr>
          <w:rFonts w:hint="eastAsia"/>
        </w:rPr>
        <w:t>1</w:t>
      </w:r>
      <w:r>
        <w:rPr>
          <w:rFonts w:hint="eastAsia"/>
        </w:rPr>
        <w:t>）适用投资者范围</w:t>
      </w:r>
      <w:r>
        <w:rPr>
          <w:rFonts w:hint="eastAsia"/>
        </w:rPr>
        <w:t xml:space="preserve"> </w:t>
      </w:r>
    </w:p>
    <w:p w:rsidR="002803CC" w:rsidRDefault="00A01ACA">
      <w:pPr>
        <w:pStyle w:val="a3"/>
        <w:spacing w:before="0" w:beforeAutospacing="0" w:after="0" w:afterAutospacing="0" w:line="360" w:lineRule="auto"/>
        <w:ind w:firstLine="420"/>
      </w:pPr>
      <w:r>
        <w:rPr>
          <w:rFonts w:hint="eastAsia"/>
        </w:rPr>
        <w:t>个人投资者、机构投资者</w:t>
      </w:r>
      <w:r>
        <w:rPr>
          <w:rFonts w:hint="eastAsia"/>
        </w:rPr>
        <w:t>、合格境外机构投资者和人民币合格境外机构投资者以及法律法规或中国证监会规定允许购买证券投资基金的其他投资者。</w:t>
      </w:r>
      <w:r>
        <w:rPr>
          <w:rFonts w:hint="eastAsia"/>
        </w:rPr>
        <w:t xml:space="preserve"> </w:t>
      </w:r>
    </w:p>
    <w:p w:rsidR="002803CC" w:rsidRDefault="00A01ACA">
      <w:pPr>
        <w:pStyle w:val="a3"/>
        <w:spacing w:before="0" w:beforeAutospacing="0" w:after="0" w:afterAutospacing="0" w:line="360" w:lineRule="auto"/>
        <w:ind w:firstLine="420"/>
      </w:pPr>
      <w:r>
        <w:rPr>
          <w:rFonts w:hint="eastAsia"/>
        </w:rPr>
        <w:t>（</w:t>
      </w:r>
      <w:r>
        <w:rPr>
          <w:rFonts w:hint="eastAsia"/>
        </w:rPr>
        <w:t>2</w:t>
      </w:r>
      <w:r>
        <w:rPr>
          <w:rFonts w:hint="eastAsia"/>
        </w:rPr>
        <w:t>）申购费率</w:t>
      </w:r>
      <w:r>
        <w:rPr>
          <w:rFonts w:hint="eastAsia"/>
        </w:rPr>
        <w:t xml:space="preserve"> </w:t>
      </w:r>
    </w:p>
    <w:p w:rsidR="002803CC" w:rsidRDefault="00A01ACA">
      <w:pPr>
        <w:pStyle w:val="a3"/>
        <w:spacing w:before="0" w:beforeAutospacing="0" w:after="0" w:afterAutospacing="0" w:line="360" w:lineRule="auto"/>
        <w:ind w:firstLine="420"/>
      </w:pPr>
      <w:r>
        <w:rPr>
          <w:rFonts w:hint="eastAsia"/>
        </w:rPr>
        <w:t>本基金定期定额投资的申购费率与普通申购业务的费率相同，见上文。</w:t>
      </w:r>
      <w:r>
        <w:rPr>
          <w:rFonts w:hint="eastAsia"/>
        </w:rPr>
        <w:t xml:space="preserve"> </w:t>
      </w:r>
    </w:p>
    <w:p w:rsidR="002803CC" w:rsidRDefault="00A01ACA">
      <w:pPr>
        <w:pStyle w:val="a3"/>
        <w:spacing w:before="0" w:beforeAutospacing="0" w:after="0" w:afterAutospacing="0" w:line="360" w:lineRule="auto"/>
        <w:ind w:firstLine="420"/>
      </w:pPr>
      <w:r>
        <w:rPr>
          <w:rFonts w:hint="eastAsia"/>
        </w:rPr>
        <w:t>（</w:t>
      </w:r>
      <w:r>
        <w:rPr>
          <w:rFonts w:hint="eastAsia"/>
        </w:rPr>
        <w:t>3</w:t>
      </w:r>
      <w:r>
        <w:rPr>
          <w:rFonts w:hint="eastAsia"/>
        </w:rPr>
        <w:t>）扣款日期和扣款金额</w:t>
      </w:r>
      <w:r>
        <w:rPr>
          <w:rFonts w:hint="eastAsia"/>
        </w:rPr>
        <w:t xml:space="preserve"> </w:t>
      </w:r>
    </w:p>
    <w:p w:rsidR="002803CC" w:rsidRDefault="00A01ACA">
      <w:pPr>
        <w:pStyle w:val="a3"/>
        <w:spacing w:before="0" w:beforeAutospacing="0" w:after="0" w:afterAutospacing="0" w:line="360" w:lineRule="auto"/>
        <w:ind w:firstLine="420"/>
      </w:pPr>
      <w:r>
        <w:rPr>
          <w:rFonts w:hint="eastAsia"/>
        </w:rPr>
        <w:t>投资者须遵循各销售机构有关扣款日期的规定，定投金额</w:t>
      </w:r>
      <w:r>
        <w:rPr>
          <w:rFonts w:hint="eastAsia"/>
        </w:rPr>
        <w:t>A</w:t>
      </w:r>
      <w:r>
        <w:rPr>
          <w:rFonts w:hint="eastAsia"/>
        </w:rPr>
        <w:t>类基金份额每次不少于人民币</w:t>
      </w:r>
      <w:r>
        <w:rPr>
          <w:rFonts w:hint="eastAsia"/>
        </w:rPr>
        <w:t>1.00</w:t>
      </w:r>
      <w:r>
        <w:rPr>
          <w:rFonts w:hint="eastAsia"/>
        </w:rPr>
        <w:t>元（含</w:t>
      </w:r>
      <w:r>
        <w:rPr>
          <w:rFonts w:hint="eastAsia"/>
        </w:rPr>
        <w:t>1.00</w:t>
      </w:r>
      <w:r>
        <w:rPr>
          <w:rFonts w:hint="eastAsia"/>
        </w:rPr>
        <w:t>元），定投金额</w:t>
      </w:r>
      <w:r>
        <w:rPr>
          <w:rFonts w:hint="eastAsia"/>
        </w:rPr>
        <w:t>C</w:t>
      </w:r>
      <w:r>
        <w:rPr>
          <w:rFonts w:hint="eastAsia"/>
        </w:rPr>
        <w:t>类基金份额每次不少于人民币</w:t>
      </w:r>
      <w:r>
        <w:rPr>
          <w:rFonts w:hint="eastAsia"/>
        </w:rPr>
        <w:t>1.00</w:t>
      </w:r>
      <w:r>
        <w:rPr>
          <w:rFonts w:hint="eastAsia"/>
        </w:rPr>
        <w:t>元（含</w:t>
      </w:r>
      <w:r>
        <w:rPr>
          <w:rFonts w:hint="eastAsia"/>
        </w:rPr>
        <w:t>1.00</w:t>
      </w:r>
      <w:r>
        <w:rPr>
          <w:rFonts w:hint="eastAsia"/>
        </w:rPr>
        <w:t>元）。</w:t>
      </w:r>
      <w:r>
        <w:rPr>
          <w:rFonts w:hint="eastAsia"/>
        </w:rPr>
        <w:t xml:space="preserve"> </w:t>
      </w:r>
    </w:p>
    <w:p w:rsidR="002803CC" w:rsidRDefault="00A01ACA">
      <w:pPr>
        <w:pStyle w:val="a3"/>
        <w:spacing w:before="0" w:beforeAutospacing="0" w:after="0" w:afterAutospacing="0" w:line="360" w:lineRule="auto"/>
        <w:ind w:firstLine="420"/>
      </w:pPr>
      <w:r>
        <w:rPr>
          <w:rFonts w:hint="eastAsia"/>
        </w:rPr>
        <w:t>（</w:t>
      </w:r>
      <w:r>
        <w:rPr>
          <w:rFonts w:hint="eastAsia"/>
        </w:rPr>
        <w:t>4</w:t>
      </w:r>
      <w:r>
        <w:rPr>
          <w:rFonts w:hint="eastAsia"/>
        </w:rPr>
        <w:t>）重要提示</w:t>
      </w:r>
      <w:r>
        <w:rPr>
          <w:rFonts w:hint="eastAsia"/>
        </w:rPr>
        <w:t xml:space="preserve"> </w:t>
      </w:r>
    </w:p>
    <w:p w:rsidR="002803CC" w:rsidRDefault="00A01ACA">
      <w:pPr>
        <w:pStyle w:val="a3"/>
        <w:spacing w:before="0" w:beforeAutospacing="0" w:after="0" w:afterAutospacing="0" w:line="360" w:lineRule="auto"/>
        <w:ind w:firstLine="420"/>
      </w:pPr>
      <w:r>
        <w:rPr>
          <w:rFonts w:hint="eastAsia"/>
        </w:rPr>
        <w:t>1</w:t>
      </w:r>
      <w:r>
        <w:rPr>
          <w:rFonts w:hint="eastAsia"/>
        </w:rPr>
        <w:t>）凡申请办理本基金“定期定额投资计划”的投资者须首先开立本公司开放式基金基金账户。</w:t>
      </w:r>
      <w:r>
        <w:rPr>
          <w:rFonts w:hint="eastAsia"/>
        </w:rPr>
        <w:t xml:space="preserve"> </w:t>
      </w:r>
    </w:p>
    <w:p w:rsidR="002803CC" w:rsidRDefault="00A01ACA">
      <w:pPr>
        <w:pStyle w:val="a3"/>
        <w:spacing w:before="0" w:beforeAutospacing="0" w:after="0" w:afterAutospacing="0" w:line="360" w:lineRule="auto"/>
        <w:ind w:firstLine="420"/>
      </w:pPr>
      <w:r>
        <w:rPr>
          <w:rFonts w:hint="eastAsia"/>
        </w:rPr>
        <w:t>2</w:t>
      </w:r>
      <w:r>
        <w:rPr>
          <w:rFonts w:hint="eastAsia"/>
        </w:rPr>
        <w:t>）本基金定期定额投资计划的每月实际扣款日即为基金申购申请日，并以该日（</w:t>
      </w:r>
      <w:r>
        <w:rPr>
          <w:rFonts w:hint="eastAsia"/>
        </w:rPr>
        <w:t>T</w:t>
      </w:r>
      <w:r>
        <w:rPr>
          <w:rFonts w:hint="eastAsia"/>
        </w:rPr>
        <w:t>日）的基金份额净值为基准计算申购份额。投资者可以从</w:t>
      </w:r>
      <w:r>
        <w:rPr>
          <w:rFonts w:hint="eastAsia"/>
        </w:rPr>
        <w:t>T+2</w:t>
      </w:r>
      <w:r>
        <w:rPr>
          <w:rFonts w:hint="eastAsia"/>
        </w:rPr>
        <w:t>日起通过本定期定额投资计划办理网点、致电本公司客服电话或登录本公司网站查询其每次申购申请的确认情况。申购份额将在确认成功后直接计入投资者的基金账户。</w:t>
      </w:r>
      <w:r>
        <w:rPr>
          <w:rFonts w:hint="eastAsia"/>
        </w:rPr>
        <w:t xml:space="preserve"> </w:t>
      </w:r>
    </w:p>
    <w:p w:rsidR="002803CC" w:rsidRDefault="00A01ACA">
      <w:pPr>
        <w:pStyle w:val="2"/>
        <w:rPr>
          <w:rFonts w:ascii="宋体" w:eastAsia="宋体" w:hAnsi="宋体"/>
          <w:sz w:val="24"/>
        </w:rPr>
      </w:pPr>
      <w:r>
        <w:rPr>
          <w:rFonts w:ascii="宋体" w:eastAsia="宋体" w:hAnsi="宋体"/>
          <w:sz w:val="24"/>
        </w:rPr>
        <w:t>7</w:t>
      </w:r>
      <w:r>
        <w:rPr>
          <w:rFonts w:ascii="宋体" w:eastAsia="宋体" w:hAnsi="宋体"/>
          <w:sz w:val="24"/>
        </w:rPr>
        <w:t>、基金销售机构</w:t>
      </w:r>
    </w:p>
    <w:p w:rsidR="002803CC" w:rsidRDefault="00A01ACA">
      <w:pPr>
        <w:pStyle w:val="3"/>
        <w:rPr>
          <w:rFonts w:ascii="宋体" w:eastAsia="宋体" w:hAnsi="宋体"/>
          <w:sz w:val="24"/>
        </w:rPr>
      </w:pPr>
      <w:r>
        <w:rPr>
          <w:rFonts w:ascii="宋体" w:eastAsia="宋体" w:hAnsi="宋体" w:hint="eastAsia"/>
          <w:sz w:val="24"/>
        </w:rPr>
        <w:t>7.1</w:t>
      </w:r>
      <w:r>
        <w:rPr>
          <w:rFonts w:ascii="宋体" w:eastAsia="宋体" w:hAnsi="宋体" w:hint="eastAsia"/>
          <w:sz w:val="24"/>
        </w:rPr>
        <w:t>场外销售机构</w:t>
      </w:r>
    </w:p>
    <w:p w:rsidR="002803CC" w:rsidRDefault="00A01ACA">
      <w:pPr>
        <w:pStyle w:val="3"/>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）直销机构</w:t>
      </w:r>
    </w:p>
    <w:p w:rsidR="002803CC" w:rsidRDefault="00A01ACA">
      <w:pPr>
        <w:pStyle w:val="a3"/>
        <w:spacing w:before="0" w:beforeAutospacing="0" w:after="0" w:afterAutospacing="0" w:line="360" w:lineRule="auto"/>
        <w:ind w:firstLine="420"/>
      </w:pPr>
      <w:r>
        <w:rPr>
          <w:rFonts w:hint="eastAsia"/>
        </w:rPr>
        <w:t>博时基金管理有限公司直销机构（含直销中心及直销网上交易）。</w:t>
      </w:r>
      <w:r>
        <w:rPr>
          <w:rFonts w:hint="eastAsia"/>
        </w:rPr>
        <w:t xml:space="preserve"> </w:t>
      </w:r>
    </w:p>
    <w:p w:rsidR="002803CC" w:rsidRDefault="00A01ACA">
      <w:pPr>
        <w:pStyle w:val="a3"/>
        <w:spacing w:before="0" w:beforeAutospacing="0" w:after="0" w:afterAutospacing="0" w:line="360" w:lineRule="auto"/>
        <w:ind w:firstLine="420"/>
      </w:pPr>
      <w:r>
        <w:rPr>
          <w:rFonts w:hint="eastAsia"/>
        </w:rPr>
        <w:t>投资者如需办理直销网上交易，可登录本公司网站</w:t>
      </w:r>
      <w:r>
        <w:rPr>
          <w:rFonts w:hint="eastAsia"/>
        </w:rPr>
        <w:t>www.bosera.com</w:t>
      </w:r>
      <w:r>
        <w:rPr>
          <w:rFonts w:hint="eastAsia"/>
        </w:rPr>
        <w:t>参阅《博时基金管理有限公司开放式基金业务规</w:t>
      </w:r>
      <w:r>
        <w:rPr>
          <w:rFonts w:hint="eastAsia"/>
        </w:rPr>
        <w:t>则》、《博时基金管理有限公司网上交易业务规则》、《博时基金管理有限公司直销定期投资业务规则》等办理相关开户、申购、赎回、转换和定期定额投资等业务。</w:t>
      </w:r>
      <w:r>
        <w:rPr>
          <w:rFonts w:hint="eastAsia"/>
        </w:rPr>
        <w:t xml:space="preserve"> </w:t>
      </w:r>
    </w:p>
    <w:p w:rsidR="002803CC" w:rsidRDefault="00A01ACA">
      <w:pPr>
        <w:pStyle w:val="3"/>
        <w:rPr>
          <w:rFonts w:ascii="宋体" w:eastAsia="宋体" w:hAnsi="宋体"/>
          <w:sz w:val="24"/>
        </w:rPr>
      </w:pPr>
      <w:r>
        <w:rPr>
          <w:rFonts w:ascii="宋体" w:eastAsia="宋体" w:hAnsi="宋体" w:hint="eastAsia"/>
          <w:sz w:val="24"/>
        </w:rPr>
        <w:t>（</w:t>
      </w:r>
      <w:r>
        <w:rPr>
          <w:rFonts w:ascii="宋体" w:eastAsia="宋体" w:hAnsi="宋体"/>
          <w:sz w:val="24"/>
        </w:rPr>
        <w:t>2</w:t>
      </w:r>
      <w:r>
        <w:rPr>
          <w:rFonts w:ascii="宋体" w:eastAsia="宋体" w:hAnsi="宋体"/>
          <w:sz w:val="24"/>
        </w:rPr>
        <w:t>）场外非直销机构</w:t>
      </w:r>
    </w:p>
    <w:p w:rsidR="002803CC" w:rsidRDefault="00A01ACA">
      <w:pPr>
        <w:pStyle w:val="a3"/>
        <w:spacing w:before="0" w:beforeAutospacing="0" w:after="0" w:afterAutospacing="0" w:line="360" w:lineRule="auto"/>
        <w:ind w:firstLine="420"/>
      </w:pPr>
      <w:r>
        <w:rPr>
          <w:rFonts w:hint="eastAsia"/>
        </w:rPr>
        <w:t>交通银行股份有限公司、招商银行股份有限公司、上海浦东发展银行股份有限公司、中国民生银行股份有限公司、中国邮政储蓄银行股份有限公司、广发银行股份有限公司、浙商银行股份有限公司</w:t>
      </w:r>
      <w:r>
        <w:rPr>
          <w:rFonts w:hint="eastAsia"/>
        </w:rPr>
        <w:t xml:space="preserve"> </w:t>
      </w:r>
    </w:p>
    <w:p w:rsidR="002803CC" w:rsidRDefault="00A01ACA">
      <w:pPr>
        <w:pStyle w:val="a3"/>
        <w:spacing w:before="0" w:beforeAutospacing="0" w:after="0" w:afterAutospacing="0" w:line="360" w:lineRule="auto"/>
        <w:ind w:firstLine="420"/>
      </w:pPr>
      <w:r>
        <w:rPr>
          <w:rFonts w:hint="eastAsia"/>
        </w:rPr>
        <w:t>除上述机构外，其他销售机构如以后开展上述业务，本公司可不再另行公告，以各销售机构为准。各代销机构可销售的基金份额类别、可办理的基金业务类型及其具体业务办理状况遵循其各自规定执行。</w:t>
      </w:r>
      <w:r>
        <w:rPr>
          <w:rFonts w:hint="eastAsia"/>
        </w:rPr>
        <w:t xml:space="preserve"> </w:t>
      </w:r>
    </w:p>
    <w:p w:rsidR="002803CC" w:rsidRDefault="00A01ACA">
      <w:pPr>
        <w:pStyle w:val="2"/>
        <w:rPr>
          <w:rFonts w:ascii="宋体" w:eastAsia="宋体" w:hAnsi="宋体"/>
          <w:sz w:val="24"/>
        </w:rPr>
      </w:pPr>
      <w:r>
        <w:rPr>
          <w:rFonts w:ascii="宋体" w:eastAsia="宋体" w:hAnsi="宋体"/>
          <w:sz w:val="24"/>
        </w:rPr>
        <w:t>8</w:t>
      </w:r>
      <w:r>
        <w:rPr>
          <w:rFonts w:ascii="宋体" w:eastAsia="宋体" w:hAnsi="宋体"/>
          <w:sz w:val="24"/>
        </w:rPr>
        <w:t>、基金份额净值公告</w:t>
      </w:r>
      <w:r>
        <w:rPr>
          <w:rFonts w:ascii="宋体" w:eastAsia="宋体" w:hAnsi="宋体"/>
          <w:sz w:val="24"/>
        </w:rPr>
        <w:t>/</w:t>
      </w:r>
      <w:r>
        <w:rPr>
          <w:rFonts w:ascii="宋体" w:eastAsia="宋体" w:hAnsi="宋体"/>
          <w:sz w:val="24"/>
        </w:rPr>
        <w:t>基金收益公告的披露安排</w:t>
      </w:r>
      <w:r>
        <w:rPr>
          <w:rFonts w:ascii="宋体" w:eastAsia="宋体" w:hAnsi="宋体"/>
          <w:sz w:val="24"/>
        </w:rPr>
        <w:t xml:space="preserve"> </w:t>
      </w:r>
    </w:p>
    <w:p w:rsidR="002803CC" w:rsidRDefault="00A01ACA">
      <w:pPr>
        <w:pStyle w:val="a3"/>
        <w:spacing w:before="0" w:beforeAutospacing="0" w:after="0" w:afterAutospacing="0" w:line="360" w:lineRule="auto"/>
        <w:ind w:firstLine="420"/>
      </w:pPr>
      <w:r>
        <w:rPr>
          <w:rFonts w:hint="eastAsia"/>
        </w:rPr>
        <w:t>《基金合同》生效后，在开始办理基金份额申购或者赎回前，基金管理人应当至少每周在规定网站公告一次各类基金份额净值和各类基金份额累计净值。</w:t>
      </w:r>
      <w:r>
        <w:rPr>
          <w:rFonts w:hint="eastAsia"/>
        </w:rPr>
        <w:t xml:space="preserve"> </w:t>
      </w:r>
    </w:p>
    <w:p w:rsidR="002803CC" w:rsidRDefault="00A01ACA">
      <w:pPr>
        <w:pStyle w:val="a3"/>
        <w:spacing w:before="0" w:beforeAutospacing="0" w:after="0" w:afterAutospacing="0" w:line="360" w:lineRule="auto"/>
        <w:ind w:firstLine="420"/>
      </w:pPr>
      <w:r>
        <w:rPr>
          <w:rFonts w:hint="eastAsia"/>
        </w:rPr>
        <w:t>在开始办理基金份额申购或者赎回后，基金管理人应当在不晚于每个开放日的次日，通过规定网站、基金销售机构网站或者营业网点披露开放日的各类基金份额净值</w:t>
      </w:r>
      <w:r>
        <w:rPr>
          <w:rFonts w:hint="eastAsia"/>
        </w:rPr>
        <w:t>和各类基金份额累计净值。</w:t>
      </w:r>
      <w:r>
        <w:rPr>
          <w:rFonts w:hint="eastAsia"/>
        </w:rPr>
        <w:t xml:space="preserve"> </w:t>
      </w:r>
    </w:p>
    <w:p w:rsidR="002803CC" w:rsidRDefault="00A01ACA">
      <w:pPr>
        <w:pStyle w:val="a3"/>
        <w:spacing w:before="0" w:beforeAutospacing="0" w:after="0" w:afterAutospacing="0" w:line="360" w:lineRule="auto"/>
        <w:ind w:firstLine="420"/>
      </w:pPr>
      <w:r>
        <w:rPr>
          <w:rFonts w:hint="eastAsia"/>
        </w:rPr>
        <w:t>基金管理人应当在不晚于半年度和年度最后一日的次日，在规定网站公告半年度和年度最后一日各类基金份额净值和各类基金份额累计净值。</w:t>
      </w:r>
      <w:r>
        <w:rPr>
          <w:rFonts w:hint="eastAsia"/>
        </w:rPr>
        <w:t xml:space="preserve"> </w:t>
      </w:r>
    </w:p>
    <w:p w:rsidR="002803CC" w:rsidRDefault="00A01ACA">
      <w:pPr>
        <w:pStyle w:val="2"/>
        <w:rPr>
          <w:rFonts w:ascii="宋体" w:eastAsia="宋体" w:hAnsi="宋体"/>
          <w:sz w:val="24"/>
        </w:rPr>
      </w:pPr>
      <w:r>
        <w:rPr>
          <w:rFonts w:ascii="宋体" w:eastAsia="宋体" w:hAnsi="宋体"/>
          <w:sz w:val="24"/>
        </w:rPr>
        <w:t>9</w:t>
      </w:r>
      <w:r>
        <w:rPr>
          <w:rFonts w:ascii="宋体" w:eastAsia="宋体" w:hAnsi="宋体"/>
          <w:sz w:val="24"/>
        </w:rPr>
        <w:t>、其他需要提示的事项</w:t>
      </w:r>
    </w:p>
    <w:p w:rsidR="002803CC" w:rsidRDefault="00A01ACA">
      <w:pPr>
        <w:pStyle w:val="a3"/>
        <w:spacing w:before="0" w:beforeAutospacing="0" w:after="0" w:afterAutospacing="0" w:line="360" w:lineRule="auto"/>
        <w:ind w:firstLine="420"/>
      </w:pPr>
      <w:r>
        <w:rPr>
          <w:rFonts w:hint="eastAsia"/>
        </w:rPr>
        <w:t>（</w:t>
      </w:r>
      <w:r>
        <w:rPr>
          <w:rFonts w:hint="eastAsia"/>
        </w:rPr>
        <w:t>1</w:t>
      </w:r>
      <w:r>
        <w:rPr>
          <w:rFonts w:hint="eastAsia"/>
        </w:rPr>
        <w:t>）上述销售机构业务受理具体情况以代销机构公告或代销系统规则为准。</w:t>
      </w:r>
      <w:r>
        <w:rPr>
          <w:rFonts w:hint="eastAsia"/>
        </w:rPr>
        <w:t xml:space="preserve"> </w:t>
      </w:r>
    </w:p>
    <w:p w:rsidR="002803CC" w:rsidRDefault="00A01ACA">
      <w:pPr>
        <w:pStyle w:val="a3"/>
        <w:spacing w:before="0" w:beforeAutospacing="0" w:after="0" w:afterAutospacing="0" w:line="360" w:lineRule="auto"/>
        <w:ind w:firstLine="420"/>
      </w:pPr>
      <w:r>
        <w:rPr>
          <w:rFonts w:hint="eastAsia"/>
        </w:rPr>
        <w:t>（</w:t>
      </w:r>
      <w:r>
        <w:rPr>
          <w:rFonts w:hint="eastAsia"/>
        </w:rPr>
        <w:t>2</w:t>
      </w:r>
      <w:r>
        <w:rPr>
          <w:rFonts w:hint="eastAsia"/>
        </w:rPr>
        <w:t>）本公告仅对本基金日常申购、赎回、转换、定期定额投资业务的有关事项和规定予以说明。投资者欲了解本基金的详细情况，请详细阅读发布在本公司网站</w:t>
      </w:r>
      <w:r>
        <w:rPr>
          <w:rFonts w:hint="eastAsia"/>
        </w:rPr>
        <w:t>[http://www.bosera.com/]</w:t>
      </w:r>
      <w:r>
        <w:rPr>
          <w:rFonts w:hint="eastAsia"/>
        </w:rPr>
        <w:t>和中国证监会基金电子披露网站（</w:t>
      </w:r>
      <w:r>
        <w:rPr>
          <w:rFonts w:hint="eastAsia"/>
        </w:rPr>
        <w:t>http://eid.csrc.gov.</w:t>
      </w:r>
      <w:r>
        <w:rPr>
          <w:rFonts w:hint="eastAsia"/>
        </w:rPr>
        <w:t>cn/fund</w:t>
      </w:r>
      <w:r>
        <w:rPr>
          <w:rFonts w:hint="eastAsia"/>
        </w:rPr>
        <w:t>）上的《博时卓越优选混合型证券投资基金招募说明书》。</w:t>
      </w:r>
      <w:r>
        <w:rPr>
          <w:rFonts w:hint="eastAsia"/>
        </w:rPr>
        <w:t xml:space="preserve"> </w:t>
      </w:r>
    </w:p>
    <w:p w:rsidR="002803CC" w:rsidRDefault="002803CC">
      <w:pPr>
        <w:pStyle w:val="a3"/>
        <w:spacing w:before="0" w:beforeAutospacing="0" w:after="0" w:afterAutospacing="0" w:line="360" w:lineRule="auto"/>
        <w:ind w:firstLine="420"/>
      </w:pPr>
    </w:p>
    <w:p w:rsidR="002803CC" w:rsidRDefault="00A01ACA">
      <w:pPr>
        <w:pStyle w:val="a3"/>
        <w:spacing w:before="0" w:beforeAutospacing="0" w:after="0" w:afterAutospacing="0" w:line="360" w:lineRule="auto"/>
        <w:ind w:firstLine="420"/>
      </w:pPr>
      <w:r>
        <w:rPr>
          <w:rFonts w:hint="eastAsia"/>
        </w:rPr>
        <w:t>特此公告。</w:t>
      </w:r>
      <w:r>
        <w:rPr>
          <w:rFonts w:hint="eastAsia"/>
        </w:rPr>
        <w:t xml:space="preserve"> </w:t>
      </w:r>
    </w:p>
    <w:p w:rsidR="002803CC" w:rsidRDefault="002803CC">
      <w:pPr>
        <w:pStyle w:val="a3"/>
        <w:spacing w:before="0" w:beforeAutospacing="0" w:after="0" w:afterAutospacing="0" w:line="360" w:lineRule="auto"/>
        <w:ind w:firstLine="420"/>
      </w:pPr>
    </w:p>
    <w:p w:rsidR="002803CC" w:rsidRDefault="002803CC">
      <w:pPr>
        <w:pStyle w:val="a3"/>
        <w:spacing w:before="0" w:beforeAutospacing="0" w:after="0" w:afterAutospacing="0" w:line="360" w:lineRule="auto"/>
        <w:ind w:firstLine="420"/>
      </w:pPr>
    </w:p>
    <w:p w:rsidR="002803CC" w:rsidRDefault="002803CC">
      <w:pPr>
        <w:pStyle w:val="a3"/>
        <w:spacing w:before="0" w:beforeAutospacing="0" w:after="0" w:afterAutospacing="0" w:line="360" w:lineRule="auto"/>
        <w:ind w:firstLine="420"/>
      </w:pPr>
    </w:p>
    <w:p w:rsidR="002803CC" w:rsidRDefault="00A01ACA">
      <w:pPr>
        <w:pStyle w:val="a3"/>
        <w:spacing w:before="0" w:beforeAutospacing="0" w:after="0" w:afterAutospacing="0" w:line="360" w:lineRule="auto"/>
        <w:ind w:firstLine="420"/>
        <w:jc w:val="right"/>
      </w:pPr>
      <w:r>
        <w:rPr>
          <w:rFonts w:hint="eastAsia"/>
        </w:rPr>
        <w:t>博时基金管理有限公司</w:t>
      </w:r>
    </w:p>
    <w:p w:rsidR="002803CC" w:rsidRDefault="00A01ACA">
      <w:pPr>
        <w:pStyle w:val="a3"/>
        <w:spacing w:before="0" w:beforeAutospacing="0" w:after="0" w:afterAutospacing="0" w:line="360" w:lineRule="auto"/>
        <w:ind w:firstLine="420"/>
        <w:jc w:val="right"/>
      </w:pPr>
      <w:r>
        <w:t>2025</w:t>
      </w:r>
      <w:r>
        <w:t>年</w:t>
      </w:r>
      <w:r>
        <w:t>7</w:t>
      </w:r>
      <w:r>
        <w:t>月</w:t>
      </w:r>
      <w:r>
        <w:t>25</w:t>
      </w:r>
      <w:r>
        <w:t>日</w:t>
      </w:r>
    </w:p>
    <w:sectPr w:rsidR="002803CC" w:rsidSect="002803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4AA7"/>
    <w:rsid w:val="002803CC"/>
    <w:rsid w:val="003F7C96"/>
    <w:rsid w:val="00A01ACA"/>
    <w:rsid w:val="00C34AA7"/>
    <w:rsid w:val="2F6726AA"/>
    <w:rsid w:val="37465F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3CC"/>
    <w:pPr>
      <w:widowControl w:val="0"/>
      <w:jc w:val="both"/>
    </w:pPr>
    <w:rPr>
      <w:kern w:val="2"/>
      <w:sz w:val="21"/>
      <w:szCs w:val="22"/>
    </w:rPr>
  </w:style>
  <w:style w:type="paragraph" w:styleId="2">
    <w:name w:val="heading 2"/>
    <w:basedOn w:val="a"/>
    <w:next w:val="a"/>
    <w:link w:val="2Char"/>
    <w:uiPriority w:val="9"/>
    <w:unhideWhenUsed/>
    <w:qFormat/>
    <w:rsid w:val="002803C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803C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qFormat/>
    <w:rsid w:val="002803CC"/>
    <w:pPr>
      <w:spacing w:line="360" w:lineRule="auto"/>
      <w:ind w:firstLine="425"/>
    </w:pPr>
    <w:rPr>
      <w:rFonts w:ascii="宋体"/>
      <w:kern w:val="0"/>
      <w:sz w:val="20"/>
    </w:rPr>
  </w:style>
  <w:style w:type="paragraph" w:styleId="a3">
    <w:name w:val="Normal (Web)"/>
    <w:basedOn w:val="a"/>
    <w:uiPriority w:val="99"/>
    <w:unhideWhenUsed/>
    <w:qFormat/>
    <w:rsid w:val="002803CC"/>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2803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2803CC"/>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2803CC"/>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3581</Characters>
  <Application>Microsoft Office Word</Application>
  <DocSecurity>4</DocSecurity>
  <Lines>29</Lines>
  <Paragraphs>8</Paragraphs>
  <ScaleCrop>false</ScaleCrop>
  <Company>mycompany</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2025-07-24T16:01:00Z</dcterms:created>
  <dcterms:modified xsi:type="dcterms:W3CDTF">2025-07-24T16:01:00Z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EAB1E37B514747898E0B032D2FCB61F6_12</vt:lpwstr>
  </property>
</Properties>
</file>