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21743D">
        <w:rPr>
          <w:rFonts w:ascii="Arial" w:eastAsia="宋体" w:hAnsi="Arial" w:cs="Arial" w:hint="eastAsia"/>
          <w:b/>
          <w:sz w:val="28"/>
          <w:szCs w:val="28"/>
        </w:rPr>
        <w:t>国泰海通证券股份有限公司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21743D">
        <w:rPr>
          <w:rFonts w:ascii="Arial" w:eastAsia="宋体" w:hAnsi="Arial" w:cs="Arial" w:hint="eastAsia"/>
          <w:sz w:val="24"/>
          <w:szCs w:val="24"/>
        </w:rPr>
        <w:t>国泰海通证券股份有限公司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21743D">
        <w:rPr>
          <w:rFonts w:ascii="Arial" w:eastAsia="宋体" w:hAnsi="Arial" w:cs="Arial" w:hint="eastAsia"/>
          <w:sz w:val="24"/>
          <w:szCs w:val="24"/>
        </w:rPr>
        <w:t>国泰海通</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21743D">
        <w:rPr>
          <w:rFonts w:ascii="Arial" w:eastAsia="宋体" w:hAnsi="Arial" w:cs="Arial"/>
          <w:sz w:val="24"/>
          <w:szCs w:val="24"/>
        </w:rPr>
        <w:t>2025</w:t>
      </w:r>
      <w:r w:rsidR="0021743D">
        <w:rPr>
          <w:rFonts w:ascii="Arial" w:eastAsia="宋体" w:hAnsi="Arial" w:cs="Arial"/>
          <w:sz w:val="24"/>
          <w:szCs w:val="24"/>
        </w:rPr>
        <w:t>年</w:t>
      </w:r>
      <w:r w:rsidR="0021743D">
        <w:rPr>
          <w:rFonts w:ascii="Arial" w:eastAsia="宋体" w:hAnsi="Arial" w:cs="Arial"/>
          <w:sz w:val="24"/>
          <w:szCs w:val="24"/>
        </w:rPr>
        <w:t>7</w:t>
      </w:r>
      <w:r w:rsidR="004B718D">
        <w:rPr>
          <w:rFonts w:ascii="Arial" w:eastAsia="宋体" w:hAnsi="Arial" w:cs="Arial"/>
          <w:sz w:val="24"/>
          <w:szCs w:val="24"/>
        </w:rPr>
        <w:t>月</w:t>
      </w:r>
      <w:r w:rsidR="0021743D">
        <w:rPr>
          <w:rFonts w:ascii="Arial" w:eastAsia="宋体" w:hAnsi="Arial" w:cs="Arial"/>
          <w:sz w:val="24"/>
          <w:szCs w:val="24"/>
        </w:rPr>
        <w:t>24</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21743D">
        <w:rPr>
          <w:rFonts w:ascii="Arial" w:eastAsia="宋体" w:hAnsi="Arial" w:cs="Arial" w:hint="eastAsia"/>
          <w:sz w:val="24"/>
          <w:szCs w:val="24"/>
        </w:rPr>
        <w:t>国泰海通</w:t>
      </w:r>
      <w:r>
        <w:rPr>
          <w:rFonts w:ascii="Arial" w:eastAsia="宋体" w:hAnsi="Arial" w:cs="Arial"/>
          <w:sz w:val="24"/>
          <w:szCs w:val="24"/>
        </w:rPr>
        <w:t>申购（含定期定额投资）费率优惠活动。</w:t>
      </w: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144" w:type="dxa"/>
        <w:jc w:val="center"/>
        <w:tblLook w:val="04A0"/>
      </w:tblPr>
      <w:tblGrid>
        <w:gridCol w:w="850"/>
        <w:gridCol w:w="1276"/>
        <w:gridCol w:w="6018"/>
      </w:tblGrid>
      <w:tr w:rsidR="00A514D2" w:rsidRPr="005E4B40" w:rsidTr="002E3D8D">
        <w:trPr>
          <w:trHeight w:val="437"/>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018"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4E0096" w:rsidTr="004E0096">
        <w:trPr>
          <w:trHeight w:val="48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096" w:rsidRPr="004E0096" w:rsidRDefault="004E0096" w:rsidP="004E0096">
            <w:pPr>
              <w:widowControl/>
              <w:jc w:val="center"/>
              <w:rPr>
                <w:rFonts w:ascii="Arial" w:hAnsi="Arial" w:cs="Arial"/>
                <w:sz w:val="20"/>
                <w:szCs w:val="20"/>
              </w:rPr>
            </w:pPr>
            <w:r w:rsidRPr="004E0096">
              <w:rPr>
                <w:rFonts w:ascii="Arial" w:hAnsi="Arial" w:cs="Arial" w:hint="eastAsia"/>
                <w:sz w:val="20"/>
                <w:szCs w:val="20"/>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000279</w:t>
            </w:r>
          </w:p>
        </w:tc>
        <w:tc>
          <w:tcPr>
            <w:tcW w:w="6018" w:type="dxa"/>
            <w:tcBorders>
              <w:top w:val="single" w:sz="4" w:space="0" w:color="auto"/>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华商红利优选灵活配置混合型证券投资基金</w:t>
            </w:r>
          </w:p>
        </w:tc>
      </w:tr>
      <w:tr w:rsidR="004E0096"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0096" w:rsidRPr="004E0096" w:rsidRDefault="004E0096" w:rsidP="004E0096">
            <w:pPr>
              <w:widowControl/>
              <w:jc w:val="center"/>
              <w:rPr>
                <w:rFonts w:ascii="Arial" w:hAnsi="Arial" w:cs="Arial"/>
                <w:sz w:val="20"/>
                <w:szCs w:val="20"/>
              </w:rPr>
            </w:pPr>
            <w:r w:rsidRPr="004E0096">
              <w:rPr>
                <w:rFonts w:ascii="Arial" w:hAnsi="Arial" w:cs="Arial" w:hint="eastAsia"/>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000390</w:t>
            </w:r>
          </w:p>
        </w:tc>
        <w:tc>
          <w:tcPr>
            <w:tcW w:w="6018"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华商优势行业灵活配置混合型证券投资基金</w:t>
            </w:r>
          </w:p>
        </w:tc>
      </w:tr>
      <w:tr w:rsidR="004E0096"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0096" w:rsidRPr="004E0096" w:rsidRDefault="004E0096" w:rsidP="004E0096">
            <w:pPr>
              <w:widowControl/>
              <w:jc w:val="center"/>
              <w:rPr>
                <w:rFonts w:ascii="Arial" w:hAnsi="Arial" w:cs="Arial"/>
                <w:sz w:val="20"/>
                <w:szCs w:val="20"/>
              </w:rPr>
            </w:pPr>
            <w:r w:rsidRPr="004E0096">
              <w:rPr>
                <w:rFonts w:ascii="Arial" w:hAnsi="Arial" w:cs="Arial" w:hint="eastAsia"/>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000541</w:t>
            </w:r>
          </w:p>
        </w:tc>
        <w:tc>
          <w:tcPr>
            <w:tcW w:w="6018"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华商创新成长灵活配置混合型发起式证券投资基金A</w:t>
            </w:r>
          </w:p>
        </w:tc>
      </w:tr>
      <w:tr w:rsidR="004E0096"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0096" w:rsidRPr="004E0096" w:rsidRDefault="004E0096" w:rsidP="004E0096">
            <w:pPr>
              <w:widowControl/>
              <w:jc w:val="center"/>
              <w:rPr>
                <w:rFonts w:ascii="Arial" w:hAnsi="Arial" w:cs="Arial"/>
                <w:sz w:val="20"/>
                <w:szCs w:val="20"/>
              </w:rPr>
            </w:pPr>
            <w:r w:rsidRPr="004E0096">
              <w:rPr>
                <w:rFonts w:ascii="Arial" w:hAnsi="Arial" w:cs="Arial" w:hint="eastAsia"/>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000609</w:t>
            </w:r>
          </w:p>
        </w:tc>
        <w:tc>
          <w:tcPr>
            <w:tcW w:w="6018"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华商新量化灵活配置混合型证券投资基金A</w:t>
            </w:r>
          </w:p>
        </w:tc>
      </w:tr>
      <w:tr w:rsidR="004E0096"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0096" w:rsidRPr="004E0096" w:rsidRDefault="004E0096" w:rsidP="004E0096">
            <w:pPr>
              <w:widowControl/>
              <w:jc w:val="center"/>
              <w:rPr>
                <w:rFonts w:ascii="Arial" w:hAnsi="Arial" w:cs="Arial"/>
                <w:sz w:val="20"/>
                <w:szCs w:val="20"/>
              </w:rPr>
            </w:pPr>
            <w:r w:rsidRPr="004E0096">
              <w:rPr>
                <w:rFonts w:ascii="Arial" w:hAnsi="Arial" w:cs="Arial" w:hint="eastAsia"/>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000654</w:t>
            </w:r>
          </w:p>
        </w:tc>
        <w:tc>
          <w:tcPr>
            <w:tcW w:w="6018"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华商新锐产业灵活配置混合型证券投资基金</w:t>
            </w:r>
          </w:p>
        </w:tc>
      </w:tr>
      <w:tr w:rsidR="004E0096"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E0096" w:rsidRPr="004E0096" w:rsidRDefault="004E0096" w:rsidP="004E0096">
            <w:pPr>
              <w:widowControl/>
              <w:jc w:val="center"/>
              <w:rPr>
                <w:rFonts w:ascii="Arial" w:hAnsi="Arial" w:cs="Arial"/>
                <w:sz w:val="20"/>
                <w:szCs w:val="20"/>
              </w:rPr>
            </w:pPr>
            <w:r w:rsidRPr="004E0096">
              <w:rPr>
                <w:rFonts w:ascii="Arial" w:hAnsi="Arial" w:cs="Arial" w:hint="eastAsia"/>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000800</w:t>
            </w:r>
          </w:p>
        </w:tc>
        <w:tc>
          <w:tcPr>
            <w:tcW w:w="6018" w:type="dxa"/>
            <w:tcBorders>
              <w:top w:val="nil"/>
              <w:left w:val="nil"/>
              <w:bottom w:val="single" w:sz="4" w:space="0" w:color="auto"/>
              <w:right w:val="single" w:sz="4" w:space="0" w:color="auto"/>
            </w:tcBorders>
            <w:shd w:val="clear" w:color="auto" w:fill="auto"/>
            <w:vAlign w:val="center"/>
            <w:hideMark/>
          </w:tcPr>
          <w:p w:rsidR="004E0096" w:rsidRPr="004E0096" w:rsidRDefault="004E0096"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华商未来主题混合型证券投资基金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001106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华商健康生活灵活配置混合型证券投资基金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001143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华商量化进取灵活配置混合型证券投资基金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001448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华商双翼平衡混合型证券投资基金A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10</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001449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华商双驱优选灵活配置混合型证券投资基金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001457</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华商新常态灵活配置混合型证券投资基金A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12</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001723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华商新动力混合型证券投资基金A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13</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001751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华商信用增强债券型证券投资基金A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14</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001822</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华商智能生活灵活配置混合型证券投资基金A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15</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001933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华商新兴活力灵活配置混合型证券投资基金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16</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001959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华商乐享互联灵活配置混合型证券投资基金A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17</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002289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华商改革创新股票型证券投资基金A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18</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002669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华商万众创新灵活配置混合型证券投资基金A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19</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002924</w:t>
            </w:r>
          </w:p>
        </w:tc>
        <w:tc>
          <w:tcPr>
            <w:tcW w:w="6018" w:type="dxa"/>
            <w:tcBorders>
              <w:top w:val="nil"/>
              <w:left w:val="nil"/>
              <w:bottom w:val="single" w:sz="4" w:space="0" w:color="auto"/>
              <w:right w:val="single" w:sz="4" w:space="0" w:color="auto"/>
            </w:tcBorders>
            <w:shd w:val="clear" w:color="auto" w:fill="auto"/>
            <w:vAlign w:val="center"/>
            <w:hideMark/>
          </w:tcPr>
          <w:p w:rsidR="00296367"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华商瑞鑫定期开放债券型证券投资基金</w:t>
            </w:r>
          </w:p>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lastRenderedPageBreak/>
              <w:t>(本基金暂时处于封闭期)</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lastRenderedPageBreak/>
              <w:t>20</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003092</w:t>
            </w:r>
          </w:p>
        </w:tc>
        <w:tc>
          <w:tcPr>
            <w:tcW w:w="6018" w:type="dxa"/>
            <w:tcBorders>
              <w:top w:val="nil"/>
              <w:left w:val="nil"/>
              <w:bottom w:val="single" w:sz="4" w:space="0" w:color="auto"/>
              <w:right w:val="single" w:sz="4" w:space="0" w:color="auto"/>
            </w:tcBorders>
            <w:shd w:val="clear" w:color="auto" w:fill="auto"/>
            <w:vAlign w:val="center"/>
            <w:hideMark/>
          </w:tcPr>
          <w:p w:rsidR="00296367"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华商丰利增强定期开放债券型证券投资基金A</w:t>
            </w:r>
          </w:p>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(本基金暂时处于封闭期)</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21</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003403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华商瑞丰短债债券型证券投资基金A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22</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003598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华商润丰灵活配置混合型证券投资基金A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23</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004189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华商消费行业股票型证券投资基金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24</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004206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华商元亨灵活配置混合型证券投资基金A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25</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004423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华商研究精选灵活配置混合型证券投资基金A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26</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004895</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华商鑫安灵活配置混合型证券投资基金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27</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005161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华商上游产业股票型证券投资基金A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28</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005273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华商可转债债券型证券投资基金A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29</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007683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华商转债精选债券型证券投资基金A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30</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007685</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华商电子行业量化股票型发起式证券投资基金A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31</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007853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华商计算机行业量化股票型发起式证券投资基金A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32</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008009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华商高端装备制造股票型证券投资基金A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33</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008107</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华商医药医疗行业股票型证券投资基金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34</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008488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华商恒益稳健混合型证券投资基金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35</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008555</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华商龙头优势混合型证券投资基金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36</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008961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华商科技创新混合型证券投资基金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37</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010293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华商量化优质精选混合型证券投资基金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38</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010550</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华商双擎领航混合型证券投资基金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39</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010656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华商均衡30混合型证券投资基金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40</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010761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华商甄选回报混合型证券投资基金A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41</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011369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华商均衡成长混合型证券投资基金A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42</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011371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华商远见价值混合型证券投资基金A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43</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012056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华商嘉悦平衡养老目标三年持有期混合型发起式基金中基金（FOF）A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44</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012491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华商核心引力混合型证券投资基金A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45</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013088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华商嘉逸养老目标日期2040三年持有期混合型发起式基金中基金（FOF）A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lastRenderedPageBreak/>
              <w:t>46</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013192</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华商嘉悦稳健养老目标一年持有期混合型发起式基金中基金（FOF）A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47</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013886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华商新能源汽车混合型证券投资基金A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48</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013956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华商医药消费精选混合型证券投资基金A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49</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013958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华商鑫选回报一年持有期混合型证券投资基金A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50</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014267</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华商竞争力优选混合型证券投资基金A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51</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014350</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华商卓越成长一年持有期混合型证券投资基金A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52</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014558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华商品质慧选混合型证券投资基金A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53</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015094</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华商300智选混合型证券投资基金A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54</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015523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华商鸿盛纯债债券型证券投资基金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55</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015547</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华商核心成长一年持有期混合型证券投资基金A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56</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016045</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华商研究回报一年持有期混合型证券投资基金A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57</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016227</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华商安远稳进一年持有期混合型基金中基金（FOF）A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58</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016641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华商稳健泓利一年持有期混合型证券投资基金A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59</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017184</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华商嘉逸养老目标日期2045五年持有期混合型发起式基金中基金（FOF）</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60</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017281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华商嘉悦稳健养老目标一年持有期混合型发起式基金中基金（FOF）Y</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61</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017345</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华商嘉悦平衡养老目标三年持有期混合型发起式基金中基金（FOF）Y</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62</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017346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华商嘉逸养老目标日期2040三年持有期混合型发起式基金中基金（FOF）Y</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63</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017418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华商创新医疗混合型证券投资基金A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64</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018595</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华商利欣回报债券型证券投资基金A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65</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018973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华商科创板量化选股混合型证券投资基金A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66</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019189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华商品质价值混合型证券投资基金A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67</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019690</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华商产业机遇混合型证券投资基金A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68</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019964</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华商中证同业存单AAA指数7天持有期证券投资基金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69</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020408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华商数字经济混合型证券投资基金A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70</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020521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华商安恒债券型证券投资基金A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71</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020878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华商融享稳健配置3个月持有期混合型基金中基金（FOF）A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72</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022461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华商中证A500指数增强型证券投资基金A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73</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023897</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华商上证科创板综合指数增强型证券投资基金A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74</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024459</w:t>
            </w:r>
          </w:p>
        </w:tc>
        <w:tc>
          <w:tcPr>
            <w:tcW w:w="6018" w:type="dxa"/>
            <w:tcBorders>
              <w:top w:val="nil"/>
              <w:left w:val="nil"/>
              <w:bottom w:val="single" w:sz="4" w:space="0" w:color="auto"/>
              <w:right w:val="single" w:sz="4" w:space="0" w:color="auto"/>
            </w:tcBorders>
            <w:shd w:val="clear" w:color="auto" w:fill="auto"/>
            <w:vAlign w:val="center"/>
            <w:hideMark/>
          </w:tcPr>
          <w:p w:rsidR="00296367"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华商致远回报混合型证券投资基金A</w:t>
            </w:r>
          </w:p>
          <w:p w:rsidR="00762B12" w:rsidRPr="004E0096" w:rsidRDefault="00762B12"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(本基金暂</w:t>
            </w:r>
            <w:r w:rsidR="0036464D">
              <w:rPr>
                <w:rFonts w:ascii="宋体" w:eastAsia="宋体" w:hAnsi="宋体" w:cs="Arial" w:hint="eastAsia"/>
                <w:kern w:val="0"/>
                <w:sz w:val="22"/>
                <w:szCs w:val="20"/>
              </w:rPr>
              <w:t>未开放申购</w:t>
            </w:r>
            <w:r w:rsidRPr="004E0096">
              <w:rPr>
                <w:rFonts w:ascii="宋体" w:eastAsia="宋体" w:hAnsi="宋体" w:cs="Arial" w:hint="eastAsia"/>
                <w:kern w:val="0"/>
                <w:sz w:val="22"/>
                <w:szCs w:val="20"/>
              </w:rPr>
              <w:t>)</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75</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630001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华商领先企业混合型开放式证券投资基金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76</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630002</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华商盛世成长混合型证券投资基金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77</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630003</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华商收益增强债券型证券投资基金A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78</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630005</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华商动态阿尔法灵活配置混合型证券投资基金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79</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630006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华商产业升级混合型证券投资基金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80</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630007</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华商稳健双利债券型证券投资基金A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81</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630008</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华商策略精选灵活配置混合型证券投资基金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82</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630009</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华商稳定增利债券型证券投资基金A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83</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630010</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华商价值精选混合型证券投资基金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84</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630011</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华商主题精选混合型证券投资基金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85</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630015</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华商大盘量化精选灵活配置混合型证券投资基金</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296367" w:rsidP="004E0096">
            <w:pPr>
              <w:widowControl/>
              <w:jc w:val="center"/>
              <w:rPr>
                <w:rFonts w:ascii="Arial" w:hAnsi="Arial" w:cs="Arial"/>
                <w:sz w:val="20"/>
                <w:szCs w:val="20"/>
              </w:rPr>
            </w:pPr>
            <w:r w:rsidRPr="004E0096">
              <w:rPr>
                <w:rFonts w:ascii="Arial" w:hAnsi="Arial" w:cs="Arial" w:hint="eastAsia"/>
                <w:sz w:val="20"/>
                <w:szCs w:val="20"/>
              </w:rPr>
              <w:t>86</w:t>
            </w:r>
          </w:p>
        </w:tc>
        <w:tc>
          <w:tcPr>
            <w:tcW w:w="1276"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630016</w:t>
            </w:r>
          </w:p>
        </w:tc>
        <w:tc>
          <w:tcPr>
            <w:tcW w:w="6018" w:type="dxa"/>
            <w:tcBorders>
              <w:top w:val="nil"/>
              <w:left w:val="nil"/>
              <w:bottom w:val="single" w:sz="4" w:space="0" w:color="auto"/>
              <w:right w:val="single" w:sz="4" w:space="0" w:color="auto"/>
            </w:tcBorders>
            <w:shd w:val="clear" w:color="auto" w:fill="auto"/>
            <w:vAlign w:val="center"/>
            <w:hideMark/>
          </w:tcPr>
          <w:p w:rsidR="00296367" w:rsidRPr="004E0096" w:rsidRDefault="00296367" w:rsidP="004E0096">
            <w:pPr>
              <w:widowControl/>
              <w:jc w:val="center"/>
              <w:rPr>
                <w:rFonts w:ascii="宋体" w:eastAsia="宋体" w:hAnsi="宋体" w:cs="Arial"/>
                <w:kern w:val="0"/>
                <w:sz w:val="22"/>
                <w:szCs w:val="20"/>
              </w:rPr>
            </w:pPr>
            <w:r w:rsidRPr="004E0096">
              <w:rPr>
                <w:rFonts w:ascii="宋体" w:eastAsia="宋体" w:hAnsi="宋体" w:cs="Arial" w:hint="eastAsia"/>
                <w:kern w:val="0"/>
                <w:sz w:val="22"/>
                <w:szCs w:val="20"/>
              </w:rPr>
              <w:t>华商价值共享灵活配置混合型发起式证券投资基金</w:t>
            </w:r>
          </w:p>
        </w:tc>
      </w:tr>
    </w:tbl>
    <w:p w:rsidR="000F2FEA" w:rsidRDefault="000F2FEA" w:rsidP="000F2FEA">
      <w:pPr>
        <w:spacing w:line="360" w:lineRule="auto"/>
        <w:rPr>
          <w:rFonts w:ascii="Arial" w:eastAsia="宋体" w:hAnsi="Arial" w:cs="Arial"/>
          <w:b/>
          <w:szCs w:val="24"/>
        </w:rPr>
      </w:pPr>
      <w:r w:rsidRPr="00340DAA">
        <w:rPr>
          <w:rFonts w:ascii="Arial" w:eastAsia="宋体" w:hAnsi="Arial" w:cs="Arial" w:hint="eastAsia"/>
          <w:b/>
          <w:szCs w:val="24"/>
        </w:rPr>
        <w:t>注：</w:t>
      </w:r>
      <w:r w:rsidRPr="00BA016D">
        <w:rPr>
          <w:rFonts w:ascii="Arial" w:eastAsia="宋体" w:hAnsi="Arial" w:cs="Arial" w:hint="eastAsia"/>
          <w:b/>
          <w:szCs w:val="24"/>
        </w:rPr>
        <w:t>华商丰利增强定期开放债券型证券投资基金</w:t>
      </w:r>
      <w:r w:rsidRPr="00BA016D">
        <w:rPr>
          <w:rFonts w:ascii="Arial" w:eastAsia="宋体" w:hAnsi="Arial" w:cs="Arial" w:hint="eastAsia"/>
          <w:b/>
          <w:szCs w:val="24"/>
        </w:rPr>
        <w:t>A</w:t>
      </w:r>
      <w:r w:rsidRPr="00BA016D">
        <w:rPr>
          <w:rFonts w:ascii="Arial" w:eastAsia="宋体" w:hAnsi="Arial" w:cs="Arial" w:hint="eastAsia"/>
          <w:b/>
          <w:szCs w:val="24"/>
        </w:rPr>
        <w:t>、华商瑞鑫定期开放债券型证券投资基金</w:t>
      </w:r>
      <w:r w:rsidRPr="00340DAA">
        <w:rPr>
          <w:rFonts w:ascii="Arial" w:eastAsia="宋体" w:hAnsi="Arial" w:cs="Arial" w:hint="eastAsia"/>
          <w:b/>
          <w:szCs w:val="24"/>
        </w:rPr>
        <w:t>暂不开通定期定额投资业务。</w:t>
      </w:r>
    </w:p>
    <w:p w:rsidR="00F97E11" w:rsidRPr="000F2FEA"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21743D">
        <w:rPr>
          <w:rFonts w:ascii="Arial" w:eastAsia="宋体" w:hAnsi="Arial" w:cs="Arial"/>
          <w:sz w:val="24"/>
          <w:szCs w:val="24"/>
        </w:rPr>
        <w:t>国泰海通</w:t>
      </w:r>
      <w:r>
        <w:rPr>
          <w:rFonts w:ascii="Arial" w:eastAsia="宋体" w:hAnsi="Arial" w:cs="Arial"/>
          <w:sz w:val="24"/>
          <w:szCs w:val="24"/>
        </w:rPr>
        <w:t>申购上述基金可享有申购（含定期定额投资）</w:t>
      </w:r>
      <w:bookmarkStart w:id="0" w:name="_GoBack"/>
      <w:bookmarkEnd w:id="0"/>
      <w:r w:rsidR="000F2FEA">
        <w:rPr>
          <w:rFonts w:ascii="Arial" w:eastAsia="宋体" w:hAnsi="Arial" w:cs="Arial" w:hint="eastAsia"/>
          <w:sz w:val="24"/>
          <w:szCs w:val="24"/>
        </w:rPr>
        <w:t>1</w:t>
      </w:r>
      <w:r w:rsidR="000F2FEA">
        <w:rPr>
          <w:rFonts w:ascii="Arial" w:eastAsia="宋体" w:hAnsi="Arial" w:cs="Arial" w:hint="eastAsia"/>
          <w:sz w:val="24"/>
          <w:szCs w:val="24"/>
        </w:rPr>
        <w:t>折</w:t>
      </w:r>
      <w:r w:rsidR="000F2FEA">
        <w:rPr>
          <w:rFonts w:ascii="Arial" w:eastAsia="宋体" w:hAnsi="Arial" w:cs="Arial"/>
          <w:sz w:val="24"/>
          <w:szCs w:val="24"/>
        </w:rPr>
        <w:t>费率优惠</w:t>
      </w:r>
      <w:r w:rsidR="00637473">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21743D">
        <w:rPr>
          <w:rFonts w:ascii="Arial" w:eastAsia="宋体" w:hAnsi="Arial" w:cs="Arial"/>
          <w:sz w:val="24"/>
          <w:szCs w:val="24"/>
        </w:rPr>
        <w:t>国泰海通</w:t>
      </w:r>
      <w:r>
        <w:rPr>
          <w:rFonts w:ascii="Arial" w:eastAsia="宋体" w:hAnsi="Arial" w:cs="Arial"/>
          <w:sz w:val="24"/>
          <w:szCs w:val="24"/>
        </w:rPr>
        <w:t>，费率优惠活动内容执行期间，调整适用基金范围、业务办理的相关规则及流程以</w:t>
      </w:r>
      <w:r w:rsidR="0021743D">
        <w:rPr>
          <w:rFonts w:ascii="Arial" w:eastAsia="宋体" w:hAnsi="Arial" w:cs="Arial"/>
          <w:sz w:val="24"/>
          <w:szCs w:val="24"/>
        </w:rPr>
        <w:t>国泰海通</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21743D">
        <w:rPr>
          <w:rFonts w:ascii="Arial" w:eastAsia="宋体" w:hAnsi="Arial" w:cs="Arial"/>
          <w:sz w:val="24"/>
          <w:szCs w:val="24"/>
        </w:rPr>
        <w:t>2025</w:t>
      </w:r>
      <w:r w:rsidR="0021743D">
        <w:rPr>
          <w:rFonts w:ascii="Arial" w:eastAsia="宋体" w:hAnsi="Arial" w:cs="Arial"/>
          <w:sz w:val="24"/>
          <w:szCs w:val="24"/>
        </w:rPr>
        <w:t>年</w:t>
      </w:r>
      <w:r w:rsidR="0021743D">
        <w:rPr>
          <w:rFonts w:ascii="Arial" w:eastAsia="宋体" w:hAnsi="Arial" w:cs="Arial"/>
          <w:sz w:val="24"/>
          <w:szCs w:val="24"/>
        </w:rPr>
        <w:t>7</w:t>
      </w:r>
      <w:r w:rsidR="004B718D">
        <w:rPr>
          <w:rFonts w:ascii="Arial" w:eastAsia="宋体" w:hAnsi="Arial" w:cs="Arial"/>
          <w:sz w:val="24"/>
          <w:szCs w:val="24"/>
        </w:rPr>
        <w:t>月</w:t>
      </w:r>
      <w:r w:rsidR="0021743D">
        <w:rPr>
          <w:rFonts w:ascii="Arial" w:eastAsia="宋体" w:hAnsi="Arial" w:cs="Arial"/>
          <w:sz w:val="24"/>
          <w:szCs w:val="24"/>
        </w:rPr>
        <w:t>24</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21743D">
        <w:rPr>
          <w:rFonts w:ascii="Arial" w:eastAsia="宋体" w:hAnsi="Arial" w:cs="Arial"/>
          <w:sz w:val="24"/>
          <w:szCs w:val="24"/>
        </w:rPr>
        <w:t>国泰海通</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21743D">
        <w:rPr>
          <w:rFonts w:ascii="Arial" w:eastAsia="宋体" w:hAnsi="Arial" w:cs="Arial" w:hint="eastAsia"/>
          <w:sz w:val="24"/>
          <w:szCs w:val="24"/>
        </w:rPr>
        <w:t>国泰海通</w:t>
      </w:r>
      <w:r>
        <w:rPr>
          <w:rFonts w:ascii="Arial" w:eastAsia="宋体" w:hAnsi="Arial" w:cs="Arial"/>
          <w:sz w:val="24"/>
          <w:szCs w:val="24"/>
        </w:rPr>
        <w:t>提交申请，约定每期扣款时间、扣款金额及扣款方式，由</w:t>
      </w:r>
      <w:r w:rsidR="0021743D">
        <w:rPr>
          <w:rFonts w:ascii="Arial" w:eastAsia="宋体" w:hAnsi="Arial" w:cs="Arial"/>
          <w:sz w:val="24"/>
          <w:szCs w:val="24"/>
        </w:rPr>
        <w:t>国泰海通</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21743D">
        <w:rPr>
          <w:rFonts w:ascii="Arial" w:eastAsia="宋体" w:hAnsi="Arial" w:cs="Arial"/>
          <w:sz w:val="24"/>
          <w:szCs w:val="24"/>
        </w:rPr>
        <w:t>国泰海通</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21743D">
        <w:rPr>
          <w:rFonts w:hint="eastAsia"/>
          <w:color w:val="000000"/>
        </w:rPr>
        <w:t>国泰海通证券股份有限公司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21743D" w:rsidRPr="004E0096">
        <w:rPr>
          <w:rFonts w:ascii="Arial" w:hAnsi="Arial" w:cs="Arial" w:hint="eastAsia"/>
          <w:b/>
        </w:rPr>
        <w:t>95521</w:t>
      </w:r>
      <w:r w:rsidR="0021743D" w:rsidRPr="004E0096">
        <w:rPr>
          <w:rFonts w:ascii="Arial" w:hAnsi="Arial" w:cs="Arial" w:hint="eastAsia"/>
          <w:b/>
        </w:rPr>
        <w:t>、</w:t>
      </w:r>
      <w:r w:rsidR="0021743D" w:rsidRPr="004E0096">
        <w:rPr>
          <w:rFonts w:ascii="Arial" w:hAnsi="Arial" w:cs="Arial" w:hint="eastAsia"/>
          <w:b/>
        </w:rPr>
        <w:t>400-8888-666</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21743D" w:rsidRPr="004E0096">
        <w:rPr>
          <w:rFonts w:ascii="Arial" w:hAnsi="Arial" w:cs="Arial" w:hint="eastAsia"/>
          <w:b/>
        </w:rPr>
        <w:t>www.gtht.com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D81F55" w:rsidRDefault="000F2FEA"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如果投资者购买的产品为养老目标基金，产品“养老”的名称不代表收益保障或其他任何形式的收益承诺，产品不保本，可能发生亏损。请投资者仔细阅读专门风险揭示书，确认了解产品特征。</w:t>
      </w:r>
    </w:p>
    <w:p w:rsidR="000F2FEA" w:rsidRDefault="00D81F55"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sidRPr="00D81F55">
        <w:rPr>
          <w:rFonts w:ascii="Times New Roman" w:eastAsia="宋体" w:hAnsi="Times New Roman" w:cs="Times New Roman" w:hint="eastAsia"/>
          <w:sz w:val="24"/>
          <w:szCs w:val="24"/>
        </w:rPr>
        <w:t>上述基金存在不符合法律法规或中国证监会规定的个人养老金基金要求而被移出中国证监会个人养老金基金名录的风险。当被移除名录后，上述基金将暂停办理</w:t>
      </w:r>
      <w:r w:rsidRPr="00D81F55">
        <w:rPr>
          <w:rFonts w:ascii="Times New Roman" w:eastAsia="宋体" w:hAnsi="Times New Roman" w:cs="Times New Roman" w:hint="eastAsia"/>
          <w:sz w:val="24"/>
          <w:szCs w:val="24"/>
        </w:rPr>
        <w:t>Y</w:t>
      </w:r>
      <w:r w:rsidRPr="00D81F55">
        <w:rPr>
          <w:rFonts w:ascii="Times New Roman" w:eastAsia="宋体" w:hAnsi="Times New Roman" w:cs="Times New Roman" w:hint="eastAsia"/>
          <w:sz w:val="24"/>
          <w:szCs w:val="24"/>
        </w:rPr>
        <w:t>类基金份额的申购。</w:t>
      </w:r>
    </w:p>
    <w:p w:rsidR="00D81F55" w:rsidRDefault="00D81F55"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sidRPr="00D81F55">
        <w:rPr>
          <w:rFonts w:ascii="Times New Roman" w:eastAsia="宋体" w:hAnsi="Times New Roman" w:cs="Times New Roman" w:hint="eastAsia"/>
          <w:sz w:val="24"/>
          <w:szCs w:val="24"/>
        </w:rPr>
        <w:t>如果投资者购买的产品以定期开放方式运作或在基金合同中约定了基金份额最短持有期限，在封闭期内或最短持有期限内，将面临因不能赎回或卖出基金份额而出现的流动性约束。</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E53C93">
      <w:pPr>
        <w:spacing w:line="360" w:lineRule="auto"/>
        <w:ind w:firstLineChars="200" w:firstLine="480"/>
        <w:jc w:val="right"/>
        <w:rPr>
          <w:rFonts w:ascii="Arial" w:eastAsia="宋体" w:hAnsi="Arial" w:cs="Arial"/>
          <w:sz w:val="24"/>
          <w:szCs w:val="24"/>
        </w:rPr>
      </w:pP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21743D">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2025</w:t>
      </w:r>
      <w:r>
        <w:rPr>
          <w:rFonts w:ascii="Arial" w:eastAsia="宋体" w:hAnsi="Arial" w:cs="Arial"/>
          <w:sz w:val="24"/>
          <w:szCs w:val="24"/>
        </w:rPr>
        <w:t>年</w:t>
      </w:r>
      <w:r>
        <w:rPr>
          <w:rFonts w:ascii="Arial" w:eastAsia="宋体" w:hAnsi="Arial" w:cs="Arial"/>
          <w:sz w:val="24"/>
          <w:szCs w:val="24"/>
        </w:rPr>
        <w:t>7</w:t>
      </w:r>
      <w:r w:rsidR="004B718D">
        <w:rPr>
          <w:rFonts w:ascii="Arial" w:eastAsia="宋体" w:hAnsi="Arial" w:cs="Arial"/>
          <w:sz w:val="24"/>
          <w:szCs w:val="24"/>
        </w:rPr>
        <w:t>月</w:t>
      </w:r>
      <w:r>
        <w:rPr>
          <w:rFonts w:ascii="Arial" w:eastAsia="宋体" w:hAnsi="Arial" w:cs="Arial"/>
          <w:sz w:val="24"/>
          <w:szCs w:val="24"/>
        </w:rPr>
        <w:t>24</w:t>
      </w:r>
      <w:r w:rsidR="00941380">
        <w:rPr>
          <w:rFonts w:ascii="Arial" w:eastAsia="宋体" w:hAnsi="Arial" w:cs="Arial"/>
          <w:sz w:val="24"/>
          <w:szCs w:val="24"/>
        </w:rPr>
        <w:t>日</w:t>
      </w:r>
    </w:p>
    <w:sectPr w:rsidR="00E53C93" w:rsidSect="00FA42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60" w:rsidRDefault="004F6060"/>
  </w:endnote>
  <w:endnote w:type="continuationSeparator" w:id="0">
    <w:p w:rsidR="004F6060" w:rsidRDefault="004F606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60" w:rsidRDefault="004F6060"/>
  </w:footnote>
  <w:footnote w:type="continuationSeparator" w:id="0">
    <w:p w:rsidR="004F6060" w:rsidRDefault="004F606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581C"/>
    <w:rsid w:val="00026BB3"/>
    <w:rsid w:val="00027B9C"/>
    <w:rsid w:val="000316DA"/>
    <w:rsid w:val="00032706"/>
    <w:rsid w:val="00032A57"/>
    <w:rsid w:val="00033522"/>
    <w:rsid w:val="000346D3"/>
    <w:rsid w:val="00035D08"/>
    <w:rsid w:val="00040119"/>
    <w:rsid w:val="000401F1"/>
    <w:rsid w:val="00041758"/>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47C5"/>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EC"/>
    <w:rsid w:val="00214EA4"/>
    <w:rsid w:val="002151FC"/>
    <w:rsid w:val="00216D62"/>
    <w:rsid w:val="0021743D"/>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96367"/>
    <w:rsid w:val="002A154B"/>
    <w:rsid w:val="002A1F40"/>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3D8D"/>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44D"/>
    <w:rsid w:val="00363660"/>
    <w:rsid w:val="00364263"/>
    <w:rsid w:val="0036464D"/>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A72EE"/>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096"/>
    <w:rsid w:val="004E0DC2"/>
    <w:rsid w:val="004E16E3"/>
    <w:rsid w:val="004E17E0"/>
    <w:rsid w:val="004E364C"/>
    <w:rsid w:val="004E5146"/>
    <w:rsid w:val="004E7AD6"/>
    <w:rsid w:val="004E7B3B"/>
    <w:rsid w:val="004F0D9E"/>
    <w:rsid w:val="004F20C5"/>
    <w:rsid w:val="004F29EC"/>
    <w:rsid w:val="004F31CD"/>
    <w:rsid w:val="004F5393"/>
    <w:rsid w:val="004F557F"/>
    <w:rsid w:val="004F5FF9"/>
    <w:rsid w:val="004F6060"/>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A1E"/>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2B12"/>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16BA6"/>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E2B63"/>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2B7"/>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1F55"/>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88B"/>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06C3"/>
    <w:rsid w:val="00FA152F"/>
    <w:rsid w:val="00FA205C"/>
    <w:rsid w:val="00FA2615"/>
    <w:rsid w:val="00FA2B08"/>
    <w:rsid w:val="00FA3086"/>
    <w:rsid w:val="00FA3E18"/>
    <w:rsid w:val="00FA42CE"/>
    <w:rsid w:val="00FB058B"/>
    <w:rsid w:val="00FB271F"/>
    <w:rsid w:val="00FB36C7"/>
    <w:rsid w:val="00FB500F"/>
    <w:rsid w:val="00FB531A"/>
    <w:rsid w:val="00FB5DB0"/>
    <w:rsid w:val="00FB5FC4"/>
    <w:rsid w:val="00FB767F"/>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C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FA42C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A42CE"/>
    <w:pPr>
      <w:jc w:val="left"/>
    </w:pPr>
  </w:style>
  <w:style w:type="paragraph" w:styleId="a4">
    <w:name w:val="Balloon Text"/>
    <w:basedOn w:val="a"/>
    <w:link w:val="Char0"/>
    <w:uiPriority w:val="99"/>
    <w:semiHidden/>
    <w:unhideWhenUsed/>
    <w:qFormat/>
    <w:rsid w:val="00FA42CE"/>
    <w:rPr>
      <w:sz w:val="18"/>
      <w:szCs w:val="18"/>
    </w:rPr>
  </w:style>
  <w:style w:type="paragraph" w:styleId="a5">
    <w:name w:val="footer"/>
    <w:basedOn w:val="a"/>
    <w:link w:val="Char1"/>
    <w:uiPriority w:val="99"/>
    <w:unhideWhenUsed/>
    <w:qFormat/>
    <w:rsid w:val="00FA42C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A42CE"/>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FA42C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A42CE"/>
    <w:rPr>
      <w:b/>
      <w:bCs/>
    </w:rPr>
  </w:style>
  <w:style w:type="table" w:styleId="a9">
    <w:name w:val="Table Grid"/>
    <w:basedOn w:val="a1"/>
    <w:uiPriority w:val="59"/>
    <w:qFormat/>
    <w:rsid w:val="00FA4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FA42CE"/>
    <w:rPr>
      <w:b/>
      <w:bCs/>
    </w:rPr>
  </w:style>
  <w:style w:type="character" w:styleId="ab">
    <w:name w:val="Hyperlink"/>
    <w:basedOn w:val="a0"/>
    <w:unhideWhenUsed/>
    <w:qFormat/>
    <w:rsid w:val="00FA42CE"/>
    <w:rPr>
      <w:color w:val="0000FF"/>
      <w:u w:val="single"/>
    </w:rPr>
  </w:style>
  <w:style w:type="character" w:styleId="ac">
    <w:name w:val="annotation reference"/>
    <w:basedOn w:val="a0"/>
    <w:uiPriority w:val="99"/>
    <w:semiHidden/>
    <w:unhideWhenUsed/>
    <w:qFormat/>
    <w:rsid w:val="00FA42CE"/>
    <w:rPr>
      <w:sz w:val="21"/>
      <w:szCs w:val="21"/>
    </w:rPr>
  </w:style>
  <w:style w:type="character" w:customStyle="1" w:styleId="Char2">
    <w:name w:val="页眉 Char"/>
    <w:basedOn w:val="a0"/>
    <w:link w:val="a6"/>
    <w:uiPriority w:val="99"/>
    <w:qFormat/>
    <w:rsid w:val="00FA42CE"/>
    <w:rPr>
      <w:sz w:val="18"/>
      <w:szCs w:val="18"/>
    </w:rPr>
  </w:style>
  <w:style w:type="character" w:customStyle="1" w:styleId="Char1">
    <w:name w:val="页脚 Char"/>
    <w:basedOn w:val="a0"/>
    <w:link w:val="a5"/>
    <w:uiPriority w:val="99"/>
    <w:qFormat/>
    <w:rsid w:val="00FA42CE"/>
    <w:rPr>
      <w:sz w:val="18"/>
      <w:szCs w:val="18"/>
    </w:rPr>
  </w:style>
  <w:style w:type="paragraph" w:styleId="ad">
    <w:name w:val="List Paragraph"/>
    <w:basedOn w:val="a"/>
    <w:uiPriority w:val="34"/>
    <w:qFormat/>
    <w:rsid w:val="00FA42CE"/>
    <w:pPr>
      <w:ind w:firstLineChars="200" w:firstLine="420"/>
    </w:pPr>
  </w:style>
  <w:style w:type="character" w:customStyle="1" w:styleId="2Char">
    <w:name w:val="标题 2 Char"/>
    <w:basedOn w:val="a0"/>
    <w:link w:val="2"/>
    <w:uiPriority w:val="9"/>
    <w:qFormat/>
    <w:rsid w:val="00FA42CE"/>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FA42CE"/>
    <w:rPr>
      <w:sz w:val="18"/>
      <w:szCs w:val="18"/>
    </w:rPr>
  </w:style>
  <w:style w:type="character" w:customStyle="1" w:styleId="Char">
    <w:name w:val="批注文字 Char"/>
    <w:basedOn w:val="a0"/>
    <w:link w:val="a3"/>
    <w:uiPriority w:val="99"/>
    <w:semiHidden/>
    <w:qFormat/>
    <w:rsid w:val="00FA42CE"/>
  </w:style>
  <w:style w:type="character" w:customStyle="1" w:styleId="Char3">
    <w:name w:val="批注主题 Char"/>
    <w:basedOn w:val="Char"/>
    <w:link w:val="a8"/>
    <w:uiPriority w:val="99"/>
    <w:semiHidden/>
    <w:qFormat/>
    <w:rsid w:val="00FA42CE"/>
    <w:rPr>
      <w:b/>
      <w:bCs/>
    </w:rPr>
  </w:style>
  <w:style w:type="paragraph" w:customStyle="1" w:styleId="1">
    <w:name w:val="修订1"/>
    <w:hidden/>
    <w:uiPriority w:val="99"/>
    <w:semiHidden/>
    <w:qFormat/>
    <w:rsid w:val="00FA42CE"/>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FA42CE"/>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FA42CE"/>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FA42CE"/>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FA42CE"/>
    <w:rPr>
      <w:rFonts w:asciiTheme="minorHAnsi" w:eastAsiaTheme="minorEastAsia" w:hAnsiTheme="minorHAnsi" w:cstheme="minorBidi"/>
      <w:kern w:val="2"/>
      <w:sz w:val="21"/>
      <w:szCs w:val="22"/>
    </w:rPr>
  </w:style>
  <w:style w:type="character" w:customStyle="1" w:styleId="font41">
    <w:name w:val="font41"/>
    <w:basedOn w:val="a0"/>
    <w:qFormat/>
    <w:rsid w:val="00FA42CE"/>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979073008">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06264-FE9D-48B7-B652-92BEB82A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3600</Characters>
  <Application>Microsoft Office Word</Application>
  <DocSecurity>4</DocSecurity>
  <Lines>30</Lines>
  <Paragraphs>8</Paragraphs>
  <ScaleCrop>false</ScaleCrop>
  <Company>Microsoft</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2025-07-23T07:39:00Z</cp:lastPrinted>
  <dcterms:created xsi:type="dcterms:W3CDTF">2025-07-23T16:01:00Z</dcterms:created>
  <dcterms:modified xsi:type="dcterms:W3CDTF">2025-07-23T16:01:00Z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