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A2F99" w:rsidRDefault="00FA2F99">
      <w:pPr>
        <w:pStyle w:val="XBRL2"/>
        <w:spacing w:before="156"/>
        <w:rPr>
          <w:lang w:eastAsia="zh-CN"/>
        </w:rPr>
      </w:pPr>
      <w:bookmarkStart w:id="0" w:name="_Toc510201001"/>
      <w:bookmarkEnd w:id="0"/>
      <w:r>
        <w:rPr>
          <w:lang w:eastAsia="zh-CN"/>
        </w:rPr>
        <w:t xml:space="preserve">　</w:t>
      </w:r>
      <w:r>
        <w:rPr>
          <w:lang w:eastAsia="zh-CN"/>
        </w:rPr>
        <w:t xml:space="preserve"> </w:t>
      </w:r>
    </w:p>
    <w:p w:rsidR="00FA2F99" w:rsidRDefault="00FA2F99">
      <w:pPr>
        <w:jc w:val="center"/>
      </w:pPr>
      <w:r>
        <w:rPr>
          <w:rFonts w:cs="Times New Roman" w:hint="eastAsia"/>
          <w:b/>
          <w:sz w:val="48"/>
          <w:szCs w:val="48"/>
        </w:rPr>
        <w:t>长城货币市场证券投资基金调整申购、转换转入、定期定额投资业务限额的公告</w:t>
      </w:r>
    </w:p>
    <w:p w:rsidR="00FA2F99" w:rsidRDefault="00FA2F99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FA2F99" w:rsidRDefault="00FA2F99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FA2F99" w:rsidRDefault="00FA2F99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FA2F99" w:rsidRDefault="00FA2F99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FA2F99" w:rsidRDefault="00FA2F99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FA2F99" w:rsidRDefault="00FA2F99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FA2F99" w:rsidRDefault="00FA2F99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FA2F99" w:rsidRDefault="00FA2F99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FA2F99" w:rsidRDefault="00FA2F99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FA2F99" w:rsidRDefault="00FA2F99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FA2F99" w:rsidRDefault="00FA2F99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FA2F99" w:rsidRDefault="00FA2F99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FA2F99" w:rsidRDefault="00FA2F99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FA2F99" w:rsidRDefault="00FA2F99">
      <w:pPr>
        <w:spacing w:line="360" w:lineRule="auto"/>
        <w:jc w:val="center"/>
        <w:rPr>
          <w:rFonts w:hint="eastAsia"/>
        </w:rPr>
      </w:pPr>
      <w:r>
        <w:rPr>
          <w:rFonts w:hint="eastAsia"/>
          <w:b/>
          <w:bCs/>
          <w:sz w:val="24"/>
          <w:szCs w:val="30"/>
        </w:rPr>
        <w:t>公告送出日期：2025年7月24日</w:t>
      </w:r>
    </w:p>
    <w:p w:rsidR="00FA2F99" w:rsidRDefault="00FA2F99">
      <w:pPr>
        <w:pStyle w:val="XBRLTitle1"/>
        <w:spacing w:before="156"/>
        <w:jc w:val="left"/>
        <w:rPr>
          <w:rFonts w:hint="eastAsia"/>
        </w:rPr>
      </w:pPr>
      <w:r>
        <w:rPr>
          <w:rFonts w:hint="eastAsia"/>
          <w:b w:val="0"/>
          <w:bCs w:val="0"/>
          <w:color w:val="404040"/>
          <w:kern w:val="0"/>
        </w:rPr>
        <w:br w:type="page"/>
      </w:r>
      <w:bookmarkStart w:id="1" w:name="_Toc34322059"/>
      <w:bookmarkStart w:id="2" w:name="_Toc513295892"/>
      <w:bookmarkStart w:id="3" w:name="_Toc513295846"/>
      <w:bookmarkStart w:id="4" w:name="_Toc490050000"/>
      <w:bookmarkStart w:id="5" w:name="_Toc438646451"/>
      <w:bookmarkStart w:id="6" w:name="_Toc481075046"/>
      <w:bookmarkStart w:id="7" w:name="_Toc512519480"/>
      <w:bookmarkStart w:id="8" w:name="_Toc17897936"/>
      <w:bookmarkStart w:id="9" w:name="_Toc17898178"/>
      <w:bookmarkStart w:id="10" w:name="_Toc194311890"/>
      <w:bookmarkStart w:id="11" w:name="m01_01"/>
      <w:bookmarkStart w:id="12" w:name="m101"/>
      <w:r>
        <w:rPr>
          <w:rFonts w:hint="eastAsia"/>
          <w:szCs w:val="24"/>
        </w:rPr>
        <w:lastRenderedPageBreak/>
        <w:t>公告基本信息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rFonts w:hint="eastAsia"/>
          <w:szCs w:val="24"/>
        </w:rPr>
        <w:t xml:space="preserve"> </w:t>
      </w:r>
      <w:bookmarkEnd w:id="10"/>
      <w:bookmarkEnd w:id="11"/>
      <w:bookmarkEnd w:id="12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05"/>
        <w:gridCol w:w="1555"/>
        <w:gridCol w:w="2126"/>
        <w:gridCol w:w="2268"/>
        <w:gridCol w:w="2007"/>
      </w:tblGrid>
      <w:tr w:rsidR="00FA2F99" w:rsidTr="0034564D">
        <w:trPr>
          <w:divId w:val="943534300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F99" w:rsidRDefault="00FA2F99">
            <w:pPr>
              <w:rPr>
                <w:rFonts w:hint="eastAsia"/>
              </w:rPr>
            </w:pPr>
            <w:r w:rsidRPr="00FC7A00">
              <w:rPr>
                <w:rFonts w:ascii="Calibri" w:hAnsi="Calibri" w:hint="eastAsia"/>
              </w:rPr>
              <w:t>基金名称</w:t>
            </w:r>
          </w:p>
        </w:tc>
        <w:tc>
          <w:tcPr>
            <w:tcW w:w="6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F99" w:rsidRDefault="00FA2F99">
            <w:pPr>
              <w:rPr>
                <w:rFonts w:hint="eastAsia"/>
              </w:rPr>
            </w:pPr>
            <w:r w:rsidRPr="00FC7A00">
              <w:rPr>
                <w:rFonts w:hint="eastAsia"/>
              </w:rPr>
              <w:t>长城货币市场证券投资基金</w:t>
            </w:r>
          </w:p>
        </w:tc>
      </w:tr>
      <w:tr w:rsidR="00FA2F99" w:rsidTr="0034564D">
        <w:trPr>
          <w:divId w:val="943534300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F99" w:rsidRDefault="00FA2F99">
            <w:pPr>
              <w:rPr>
                <w:rFonts w:hint="eastAsia"/>
              </w:rPr>
            </w:pPr>
            <w:r w:rsidRPr="00FC7A00">
              <w:rPr>
                <w:rFonts w:hint="eastAsia"/>
              </w:rPr>
              <w:t xml:space="preserve">基金简称 </w:t>
            </w:r>
          </w:p>
        </w:tc>
        <w:tc>
          <w:tcPr>
            <w:tcW w:w="6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F99" w:rsidRDefault="00FA2F99">
            <w:pPr>
              <w:rPr>
                <w:rFonts w:hint="eastAsia"/>
              </w:rPr>
            </w:pPr>
            <w:r w:rsidRPr="00FC7A00">
              <w:rPr>
                <w:rFonts w:hint="eastAsia"/>
              </w:rPr>
              <w:t>长城货币</w:t>
            </w:r>
          </w:p>
        </w:tc>
      </w:tr>
      <w:tr w:rsidR="00FA2F99" w:rsidTr="0034564D">
        <w:trPr>
          <w:divId w:val="943534300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F99" w:rsidRDefault="00FA2F99">
            <w:pPr>
              <w:rPr>
                <w:rFonts w:hint="eastAsia"/>
              </w:rPr>
            </w:pPr>
            <w:r w:rsidRPr="00FC7A00">
              <w:rPr>
                <w:rFonts w:hint="eastAsia"/>
              </w:rPr>
              <w:t xml:space="preserve">基金主代码 </w:t>
            </w:r>
          </w:p>
        </w:tc>
        <w:tc>
          <w:tcPr>
            <w:tcW w:w="6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F99" w:rsidRDefault="00FA2F99">
            <w:pPr>
              <w:rPr>
                <w:rFonts w:hint="eastAsia"/>
              </w:rPr>
            </w:pPr>
            <w:r w:rsidRPr="00FC7A00">
              <w:rPr>
                <w:rFonts w:hint="eastAsia"/>
              </w:rPr>
              <w:t>200003</w:t>
            </w:r>
          </w:p>
        </w:tc>
      </w:tr>
      <w:tr w:rsidR="00FA2F99" w:rsidTr="0034564D">
        <w:trPr>
          <w:divId w:val="943534300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F99" w:rsidRDefault="00FA2F99">
            <w:pPr>
              <w:rPr>
                <w:rFonts w:hint="eastAsia"/>
              </w:rPr>
            </w:pPr>
            <w:r w:rsidRPr="00FC7A00">
              <w:rPr>
                <w:rFonts w:ascii="Calibri" w:hAnsi="Calibri" w:hint="eastAsia"/>
              </w:rPr>
              <w:t>基金管理人名称</w:t>
            </w:r>
          </w:p>
        </w:tc>
        <w:tc>
          <w:tcPr>
            <w:tcW w:w="6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F99" w:rsidRDefault="00FA2F99">
            <w:pPr>
              <w:rPr>
                <w:rFonts w:hint="eastAsia"/>
              </w:rPr>
            </w:pPr>
            <w:r w:rsidRPr="00FC7A00">
              <w:rPr>
                <w:rFonts w:hint="eastAsia"/>
              </w:rPr>
              <w:t>长城基金管理有限公司</w:t>
            </w:r>
          </w:p>
        </w:tc>
      </w:tr>
      <w:tr w:rsidR="00FA2F99" w:rsidTr="0034564D">
        <w:trPr>
          <w:divId w:val="943534300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F99" w:rsidRDefault="00FA2F99">
            <w:pPr>
              <w:rPr>
                <w:rFonts w:hint="eastAsia"/>
              </w:rPr>
            </w:pPr>
            <w:r w:rsidRPr="00FC7A00">
              <w:rPr>
                <w:rFonts w:ascii="Calibri" w:hAnsi="Calibri" w:hint="eastAsia"/>
              </w:rPr>
              <w:t>公告依据</w:t>
            </w:r>
          </w:p>
        </w:tc>
        <w:tc>
          <w:tcPr>
            <w:tcW w:w="6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F99" w:rsidRDefault="00FA2F99">
            <w:pPr>
              <w:rPr>
                <w:rFonts w:hint="eastAsia"/>
              </w:rPr>
            </w:pPr>
            <w:r w:rsidRPr="00FC7A00">
              <w:rPr>
                <w:rFonts w:hint="eastAsia"/>
              </w:rPr>
              <w:t>《公开募集证券投资基金信息披露管理办法》、《长城货币市场证券投资基金基金合同》、《长城货币市场证券投资基金招募说明书》</w:t>
            </w:r>
          </w:p>
        </w:tc>
      </w:tr>
      <w:tr w:rsidR="00FA2F99" w:rsidTr="0034564D">
        <w:trPr>
          <w:divId w:val="943534300"/>
        </w:trPr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F99" w:rsidRDefault="00FA2F99">
            <w:pPr>
              <w:rPr>
                <w:rFonts w:hint="eastAsia"/>
              </w:rPr>
            </w:pPr>
            <w:r w:rsidRPr="00FC7A00">
              <w:rPr>
                <w:rFonts w:ascii="Calibri" w:hAnsi="Calibri" w:hint="eastAsia"/>
              </w:rPr>
              <w:t>暂停相关业务的起始日、金额及原因说明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F99" w:rsidRDefault="00FA2F99">
            <w:pPr>
              <w:rPr>
                <w:rFonts w:hint="eastAsia"/>
              </w:rPr>
            </w:pPr>
            <w:r w:rsidRPr="00FC7A00">
              <w:rPr>
                <w:rFonts w:ascii="Calibri" w:hAnsi="Calibri" w:hint="eastAsia"/>
              </w:rPr>
              <w:t>暂停大额申购起始日</w:t>
            </w:r>
          </w:p>
        </w:tc>
        <w:tc>
          <w:tcPr>
            <w:tcW w:w="6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F99" w:rsidRDefault="00FA2F99">
            <w:pPr>
              <w:rPr>
                <w:rFonts w:hint="eastAsia"/>
              </w:rPr>
            </w:pPr>
            <w:r w:rsidRPr="00FC7A00">
              <w:rPr>
                <w:rFonts w:hint="eastAsia"/>
              </w:rPr>
              <w:t>2025年7月25日</w:t>
            </w:r>
          </w:p>
        </w:tc>
      </w:tr>
      <w:tr w:rsidR="00FA2F99" w:rsidTr="0034564D">
        <w:trPr>
          <w:divId w:val="943534300"/>
        </w:trPr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F99" w:rsidRDefault="00FA2F99">
            <w:pPr>
              <w:widowControl/>
              <w:jc w:val="left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F99" w:rsidRDefault="00FA2F99">
            <w:pPr>
              <w:rPr>
                <w:rFonts w:hint="eastAsia"/>
              </w:rPr>
            </w:pPr>
            <w:r w:rsidRPr="00FC7A00">
              <w:rPr>
                <w:rFonts w:ascii="Calibri" w:hAnsi="Calibri" w:hint="eastAsia"/>
              </w:rPr>
              <w:t>暂停大额转换转入起始日</w:t>
            </w:r>
          </w:p>
        </w:tc>
        <w:tc>
          <w:tcPr>
            <w:tcW w:w="6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F99" w:rsidRDefault="00FA2F99">
            <w:pPr>
              <w:rPr>
                <w:rFonts w:hint="eastAsia"/>
              </w:rPr>
            </w:pPr>
            <w:r w:rsidRPr="00FC7A00">
              <w:rPr>
                <w:rFonts w:hint="eastAsia"/>
              </w:rPr>
              <w:t>2025年7月25日</w:t>
            </w:r>
          </w:p>
        </w:tc>
      </w:tr>
      <w:tr w:rsidR="00FA2F99" w:rsidTr="0034564D">
        <w:trPr>
          <w:divId w:val="943534300"/>
        </w:trPr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F99" w:rsidRDefault="00FA2F99">
            <w:pPr>
              <w:widowControl/>
              <w:jc w:val="left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F99" w:rsidRDefault="00FA2F99">
            <w:pPr>
              <w:rPr>
                <w:rFonts w:hint="eastAsia"/>
              </w:rPr>
            </w:pPr>
            <w:r w:rsidRPr="00FC7A00">
              <w:rPr>
                <w:rFonts w:ascii="Calibri" w:hAnsi="Calibri" w:hint="eastAsia"/>
              </w:rPr>
              <w:t>暂停大额申购、大额转换转入的原因说明</w:t>
            </w:r>
          </w:p>
        </w:tc>
        <w:tc>
          <w:tcPr>
            <w:tcW w:w="6401" w:type="dxa"/>
            <w:gridSpan w:val="3"/>
            <w:tcBorders>
              <w:top w:val="single" w:sz="4" w:space="0" w:color="000000"/>
              <w:left w:val="single" w:sz="4" w:space="0" w:color="000000"/>
              <w:bottom w:val="outset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F99" w:rsidRDefault="00FA2F99">
            <w:pPr>
              <w:rPr>
                <w:rFonts w:hint="eastAsia"/>
              </w:rPr>
            </w:pPr>
            <w:r w:rsidRPr="00FC7A00">
              <w:rPr>
                <w:rFonts w:hint="eastAsia"/>
              </w:rPr>
              <w:t>为保证基金的稳定运作，保护基金份额持有人利益。</w:t>
            </w:r>
          </w:p>
        </w:tc>
      </w:tr>
      <w:tr w:rsidR="00FA2F99" w:rsidTr="0034564D">
        <w:trPr>
          <w:divId w:val="943534300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F99" w:rsidRDefault="00FA2F99">
            <w:pPr>
              <w:rPr>
                <w:rFonts w:hint="eastAsia"/>
              </w:rPr>
            </w:pPr>
            <w:r w:rsidRPr="00FC7A00">
              <w:rPr>
                <w:rFonts w:ascii="Calibri" w:hAnsi="Calibri" w:hint="eastAsia"/>
              </w:rPr>
              <w:t>下属分级基金的基金简称</w:t>
            </w:r>
          </w:p>
        </w:tc>
        <w:tc>
          <w:tcPr>
            <w:tcW w:w="2126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FA2F99" w:rsidRDefault="00FA2F99">
            <w:pPr>
              <w:rPr>
                <w:rFonts w:hint="eastAsia"/>
              </w:rPr>
            </w:pPr>
            <w:r w:rsidRPr="00FC7A00">
              <w:rPr>
                <w:rFonts w:hint="eastAsia"/>
              </w:rPr>
              <w:t>长城货币A</w:t>
            </w:r>
          </w:p>
        </w:tc>
        <w:tc>
          <w:tcPr>
            <w:tcW w:w="2268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FA2F99" w:rsidRDefault="00FA2F99">
            <w:pPr>
              <w:rPr>
                <w:rFonts w:hint="eastAsia"/>
              </w:rPr>
            </w:pPr>
            <w:r w:rsidRPr="00FC7A00">
              <w:rPr>
                <w:rFonts w:hint="eastAsia"/>
              </w:rPr>
              <w:t>长城货币B</w:t>
            </w:r>
          </w:p>
        </w:tc>
        <w:tc>
          <w:tcPr>
            <w:tcW w:w="2007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FA2F99" w:rsidRDefault="00FA2F99">
            <w:pPr>
              <w:rPr>
                <w:rFonts w:hint="eastAsia"/>
              </w:rPr>
            </w:pPr>
            <w:r w:rsidRPr="00FC7A00">
              <w:rPr>
                <w:rFonts w:hint="eastAsia"/>
              </w:rPr>
              <w:t>长城货币E</w:t>
            </w:r>
          </w:p>
        </w:tc>
      </w:tr>
      <w:tr w:rsidR="00FA2F99" w:rsidTr="0034564D">
        <w:trPr>
          <w:divId w:val="943534300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F99" w:rsidRDefault="00FA2F99">
            <w:pPr>
              <w:rPr>
                <w:rFonts w:hint="eastAsia"/>
              </w:rPr>
            </w:pPr>
            <w:r w:rsidRPr="00FC7A00">
              <w:rPr>
                <w:rFonts w:ascii="Calibri" w:hAnsi="Calibri" w:hint="eastAsia"/>
              </w:rPr>
              <w:t>下属分级基金的交易代码</w:t>
            </w:r>
          </w:p>
        </w:tc>
        <w:tc>
          <w:tcPr>
            <w:tcW w:w="2126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FA2F99" w:rsidRDefault="00FA2F99">
            <w:pPr>
              <w:rPr>
                <w:rFonts w:hint="eastAsia"/>
              </w:rPr>
            </w:pPr>
            <w:r w:rsidRPr="00FC7A00">
              <w:rPr>
                <w:rFonts w:hint="eastAsia"/>
              </w:rPr>
              <w:t>200003</w:t>
            </w:r>
          </w:p>
        </w:tc>
        <w:tc>
          <w:tcPr>
            <w:tcW w:w="2268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FA2F99" w:rsidRDefault="00FA2F99">
            <w:pPr>
              <w:rPr>
                <w:rFonts w:hint="eastAsia"/>
              </w:rPr>
            </w:pPr>
            <w:r w:rsidRPr="00FC7A00">
              <w:rPr>
                <w:rFonts w:hint="eastAsia"/>
              </w:rPr>
              <w:t>200103</w:t>
            </w:r>
          </w:p>
        </w:tc>
        <w:tc>
          <w:tcPr>
            <w:tcW w:w="2007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FA2F99" w:rsidRDefault="00FA2F99">
            <w:pPr>
              <w:rPr>
                <w:rFonts w:hint="eastAsia"/>
              </w:rPr>
            </w:pPr>
            <w:r w:rsidRPr="00FC7A00">
              <w:rPr>
                <w:rFonts w:hint="eastAsia"/>
              </w:rPr>
              <w:t>000861</w:t>
            </w:r>
          </w:p>
        </w:tc>
      </w:tr>
      <w:tr w:rsidR="00FA2F99" w:rsidTr="0034564D">
        <w:trPr>
          <w:divId w:val="943534300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F99" w:rsidRDefault="00FA2F99">
            <w:pPr>
              <w:rPr>
                <w:rFonts w:hint="eastAsia"/>
              </w:rPr>
            </w:pPr>
            <w:r w:rsidRPr="00FC7A00">
              <w:rPr>
                <w:rFonts w:ascii="Calibri" w:hAnsi="Calibri" w:hint="eastAsia"/>
              </w:rPr>
              <w:t>该分级基金是否暂停大额申购、大额转换转入</w:t>
            </w:r>
          </w:p>
        </w:tc>
        <w:tc>
          <w:tcPr>
            <w:tcW w:w="2126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FA2F99" w:rsidRDefault="00FA2F99">
            <w:pPr>
              <w:rPr>
                <w:rFonts w:hint="eastAsia"/>
              </w:rPr>
            </w:pPr>
            <w:r w:rsidRPr="00FC7A00">
              <w:rPr>
                <w:rFonts w:hint="eastAsia"/>
              </w:rPr>
              <w:t>是</w:t>
            </w:r>
          </w:p>
        </w:tc>
        <w:tc>
          <w:tcPr>
            <w:tcW w:w="2268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FA2F99" w:rsidRDefault="00FA2F99">
            <w:pPr>
              <w:rPr>
                <w:rFonts w:hint="eastAsia"/>
              </w:rPr>
            </w:pPr>
            <w:r w:rsidRPr="00FC7A00">
              <w:rPr>
                <w:rFonts w:hint="eastAsia"/>
              </w:rPr>
              <w:t>是</w:t>
            </w:r>
          </w:p>
        </w:tc>
        <w:tc>
          <w:tcPr>
            <w:tcW w:w="2007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FA2F99" w:rsidRDefault="00FA2F99">
            <w:pPr>
              <w:rPr>
                <w:rFonts w:hint="eastAsia"/>
              </w:rPr>
            </w:pPr>
            <w:r w:rsidRPr="00FC7A00">
              <w:rPr>
                <w:rFonts w:hint="eastAsia"/>
              </w:rPr>
              <w:t>是</w:t>
            </w:r>
          </w:p>
        </w:tc>
      </w:tr>
    </w:tbl>
    <w:p w:rsidR="00FA2F99" w:rsidRDefault="00FA2F99">
      <w:pPr>
        <w:adjustRightInd w:val="0"/>
        <w:snapToGrid w:val="0"/>
        <w:spacing w:line="360" w:lineRule="auto"/>
        <w:jc w:val="left"/>
        <w:divId w:val="943534300"/>
        <w:rPr>
          <w:rFonts w:hint="eastAsia"/>
        </w:rPr>
      </w:pPr>
      <w:r>
        <w:rPr>
          <w:rFonts w:hint="eastAsia"/>
        </w:rPr>
        <w:t>注:</w:t>
      </w:r>
      <w:r>
        <w:rPr>
          <w:rFonts w:hint="eastAsia"/>
          <w:szCs w:val="24"/>
          <w:lang/>
        </w:rPr>
        <w:t>(1)限额详情请见以下“2.其他需要提示的事项”。</w:t>
      </w:r>
      <w:r>
        <w:rPr>
          <w:rFonts w:hint="eastAsia"/>
          <w:szCs w:val="24"/>
          <w:lang/>
        </w:rPr>
        <w:br/>
        <w:t xml:space="preserve">　　(2)申购业务含定期定额投资。</w:t>
      </w:r>
      <w:r>
        <w:rPr>
          <w:rFonts w:hint="eastAsia"/>
          <w:szCs w:val="24"/>
        </w:rPr>
        <w:t xml:space="preserve"> </w:t>
      </w:r>
    </w:p>
    <w:p w:rsidR="00FA2F99" w:rsidRDefault="00FA2F99">
      <w:pPr>
        <w:pStyle w:val="XBRLTitle1"/>
        <w:spacing w:before="156" w:line="360" w:lineRule="auto"/>
        <w:jc w:val="left"/>
        <w:rPr>
          <w:rFonts w:hint="eastAsia"/>
        </w:rPr>
      </w:pPr>
      <w:bookmarkStart w:id="13" w:name="_Toc34322063"/>
      <w:bookmarkStart w:id="14" w:name="_Toc513295941"/>
      <w:bookmarkStart w:id="15" w:name="_Toc513295878"/>
      <w:bookmarkStart w:id="16" w:name="_Toc438646481"/>
      <w:bookmarkStart w:id="17" w:name="_Toc481075097"/>
      <w:bookmarkStart w:id="18" w:name="_Toc490050049"/>
      <w:bookmarkStart w:id="19" w:name="_Toc512519529"/>
      <w:bookmarkStart w:id="20" w:name="_Toc17897969"/>
      <w:bookmarkStart w:id="21" w:name="_Toc17898228"/>
      <w:bookmarkStart w:id="22" w:name="m201_01"/>
      <w:r>
        <w:rPr>
          <w:rFonts w:hAnsi="宋体" w:hint="eastAsia"/>
          <w:szCs w:val="24"/>
        </w:rPr>
        <w:t>其他需要提示的事项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>
        <w:rPr>
          <w:rFonts w:hAnsi="宋体" w:hint="eastAsia"/>
          <w:szCs w:val="24"/>
        </w:rPr>
        <w:t xml:space="preserve"> </w:t>
      </w:r>
    </w:p>
    <w:p w:rsidR="00FA2F99" w:rsidRDefault="00FA2F99">
      <w:pPr>
        <w:spacing w:line="360" w:lineRule="auto"/>
        <w:ind w:firstLineChars="200" w:firstLine="420"/>
        <w:jc w:val="left"/>
        <w:rPr>
          <w:rFonts w:hint="eastAsia"/>
        </w:rPr>
      </w:pPr>
      <w:r>
        <w:rPr>
          <w:rFonts w:hint="eastAsia"/>
          <w:szCs w:val="21"/>
        </w:rPr>
        <w:t>（1）自2025年7月25日起，本基金调整在部分销售机构的申购限额，具体如下：</w:t>
      </w:r>
      <w:r>
        <w:rPr>
          <w:rFonts w:hint="eastAsia"/>
          <w:szCs w:val="21"/>
        </w:rPr>
        <w:br/>
        <w:t xml:space="preserve">　　在上海万得基金销售有限公司、上海证达通基金销售有限公司、济安财富（北京）基金销售有限公司、国联民生证券、中信建投证券、国投证券、博时财富基金销售有限公司，单日每个基金账户对A级、B级、E级单一基金份额的累计申购（含转换转入、定期定额投资，下同）金额上限调整为5万元。</w:t>
      </w:r>
      <w:r>
        <w:rPr>
          <w:rFonts w:hint="eastAsia"/>
          <w:szCs w:val="21"/>
        </w:rPr>
        <w:br/>
        <w:t xml:space="preserve">　　（2）本基金除上述（1）以外的申购业务限额，仍执行本公告披露前的限额规则，详情请参见相关公告。</w:t>
      </w:r>
      <w:r>
        <w:rPr>
          <w:rFonts w:hint="eastAsia"/>
          <w:szCs w:val="21"/>
        </w:rPr>
        <w:br/>
        <w:t xml:space="preserve">　　（3）若投资者的申购申请超过上述限额，本基金管理人有权拒绝。</w:t>
      </w:r>
      <w:r>
        <w:rPr>
          <w:rFonts w:hint="eastAsia"/>
          <w:szCs w:val="21"/>
        </w:rPr>
        <w:br/>
        <w:t xml:space="preserve">　　（4）投资者可通过以下方式咨询详情：长城基金管理有限公司客户服务热线400-8868-666，网站www.ccfund.com.cn。</w:t>
      </w:r>
    </w:p>
    <w:p w:rsidR="00FA2F99" w:rsidRDefault="00FA2F99">
      <w:pPr>
        <w:spacing w:line="360" w:lineRule="auto"/>
        <w:ind w:firstLineChars="600" w:firstLine="1446"/>
        <w:jc w:val="right"/>
        <w:rPr>
          <w:rFonts w:hint="eastAsia"/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FA2F99" w:rsidRDefault="00FA2F99">
      <w:pPr>
        <w:spacing w:line="360" w:lineRule="auto"/>
        <w:ind w:firstLineChars="600" w:firstLine="1446"/>
        <w:jc w:val="right"/>
        <w:rPr>
          <w:rFonts w:hint="eastAsia"/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FA2F99" w:rsidRDefault="00FA2F99">
      <w:pPr>
        <w:spacing w:line="360" w:lineRule="auto"/>
        <w:ind w:firstLineChars="600" w:firstLine="1446"/>
        <w:jc w:val="right"/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长城基金管理有限公司</w:t>
      </w:r>
    </w:p>
    <w:p w:rsidR="00FA2F99" w:rsidRDefault="00FA2F99">
      <w:pPr>
        <w:spacing w:line="360" w:lineRule="auto"/>
        <w:ind w:firstLineChars="600" w:firstLine="1446"/>
        <w:jc w:val="right"/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2025年7月24日</w:t>
      </w:r>
      <w:bookmarkEnd w:id="22"/>
      <w:r>
        <w:rPr>
          <w:rFonts w:hint="eastAsia"/>
          <w:b/>
          <w:bCs/>
          <w:sz w:val="24"/>
          <w:szCs w:val="24"/>
        </w:rPr>
        <w:t xml:space="preserve"> </w:t>
      </w:r>
    </w:p>
    <w:sectPr w:rsidR="00FA2F99">
      <w:pgSz w:w="11907" w:h="16839"/>
      <w:pgMar w:top="1440" w:right="1531" w:bottom="1134" w:left="1531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C0D" w:rsidRDefault="00042C0D" w:rsidP="0034564D">
      <w:r>
        <w:separator/>
      </w:r>
    </w:p>
  </w:endnote>
  <w:endnote w:type="continuationSeparator" w:id="0">
    <w:p w:rsidR="00042C0D" w:rsidRDefault="00042C0D" w:rsidP="003456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YaHei UI"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C0D" w:rsidRDefault="00042C0D" w:rsidP="0034564D">
      <w:r>
        <w:separator/>
      </w:r>
    </w:p>
  </w:footnote>
  <w:footnote w:type="continuationSeparator" w:id="0">
    <w:p w:rsidR="00042C0D" w:rsidRDefault="00042C0D" w:rsidP="003456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D73EE"/>
    <w:multiLevelType w:val="multilevel"/>
    <w:tmpl w:val="804A17E2"/>
    <w:lvl w:ilvl="0">
      <w:start w:val="1"/>
      <w:numFmt w:val="decimal"/>
      <w:pStyle w:val="XBRLTitle1"/>
      <w:lvlText w:val="%1."/>
      <w:lvlJc w:val="left"/>
      <w:pPr>
        <w:ind w:left="425" w:hanging="425"/>
      </w:pPr>
      <w:rPr>
        <w:sz w:val="24"/>
        <w:szCs w:val="24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3148" w:hanging="454"/>
      </w:p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sz w:val="24"/>
        <w:szCs w:val="24"/>
      </w:rPr>
    </w:lvl>
    <w:lvl w:ilvl="3">
      <w:start w:val="1"/>
      <w:numFmt w:val="decimal"/>
      <w:suff w:val="space"/>
      <w:lvlText w:val="%1.%2.%3.%4"/>
      <w:lvlJc w:val="left"/>
      <w:pPr>
        <w:ind w:left="794" w:hanging="794"/>
      </w:pPr>
    </w:lvl>
    <w:lvl w:ilvl="4">
      <w:start w:val="1"/>
      <w:numFmt w:val="decimal"/>
      <w:suff w:val="space"/>
      <w:lvlText w:val="%1.%2.%3.%4.%5"/>
      <w:lvlJc w:val="left"/>
      <w:pPr>
        <w:ind w:left="1021" w:hanging="1021"/>
      </w:pPr>
    </w:lvl>
    <w:lvl w:ilvl="5">
      <w:start w:val="1"/>
      <w:numFmt w:val="decimal"/>
      <w:suff w:val="space"/>
      <w:lvlText w:val="%1.%2.%3.%4.%5.%6"/>
      <w:lvlJc w:val="left"/>
      <w:pPr>
        <w:ind w:left="1021" w:hanging="1021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attachedTemplate r:id="rId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7A00"/>
    <w:rsid w:val="00042C0D"/>
    <w:rsid w:val="0034564D"/>
    <w:rsid w:val="00BB1FE3"/>
    <w:rsid w:val="00FA2F99"/>
    <w:rsid w:val="00FC7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uiPriority="35" w:qFormat="1"/>
    <w:lsdException w:name="footnote reference" w:semiHidden="0" w:uiPriority="0" w:unhideWhenUsed="0"/>
    <w:lsdException w:name="page number" w:semiHidden="0" w:unhideWhenUsed="0"/>
    <w:lsdException w:name="Title" w:semiHidden="0" w:uiPriority="10" w:unhideWhenUsed="0" w:qFormat="1"/>
    <w:lsdException w:name="Default Paragraph Font" w:semiHidden="0" w:uiPriority="1" w:unhideWhenUsed="0"/>
    <w:lsdException w:name="Subtitle" w:semiHidden="0" w:uiPriority="0" w:unhideWhenUsed="0" w:qFormat="1"/>
    <w:lsdException w:name="Dat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Normal (Web)" w:semiHidden="0" w:uiPriority="0" w:unhideWhenUsed="0"/>
    <w:lsdException w:name="Table Grid" w:semiHidden="0" w:uiPriority="59" w:unhideWhenUsed="0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宋体"/>
      <w:kern w:val="2"/>
      <w:sz w:val="21"/>
    </w:rPr>
  </w:style>
  <w:style w:type="paragraph" w:styleId="1">
    <w:name w:val="heading 1"/>
    <w:basedOn w:val="a"/>
    <w:next w:val="a"/>
    <w:link w:val="1Char1"/>
    <w:uiPriority w:val="9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  <w:lang/>
    </w:rPr>
  </w:style>
  <w:style w:type="paragraph" w:styleId="2">
    <w:name w:val="heading 2"/>
    <w:basedOn w:val="a"/>
    <w:next w:val="a"/>
    <w:link w:val="2Char1"/>
    <w:uiPriority w:val="9"/>
    <w:qFormat/>
    <w:pPr>
      <w:keepNext/>
      <w:keepLines/>
      <w:spacing w:before="260" w:after="260" w:line="408" w:lineRule="auto"/>
      <w:outlineLvl w:val="1"/>
    </w:pPr>
    <w:rPr>
      <w:rFonts w:ascii="Cambria" w:hAnsi="Cambria"/>
      <w:b/>
      <w:bCs/>
      <w:kern w:val="0"/>
      <w:sz w:val="32"/>
      <w:szCs w:val="32"/>
      <w:lang/>
    </w:rPr>
  </w:style>
  <w:style w:type="paragraph" w:styleId="3">
    <w:name w:val="heading 3"/>
    <w:basedOn w:val="a"/>
    <w:next w:val="a"/>
    <w:link w:val="3Char1"/>
    <w:uiPriority w:val="9"/>
    <w:qFormat/>
    <w:pPr>
      <w:keepNext/>
      <w:keepLines/>
      <w:spacing w:before="260" w:after="260" w:line="408" w:lineRule="auto"/>
      <w:outlineLvl w:val="2"/>
    </w:pPr>
    <w:rPr>
      <w:b/>
      <w:bCs/>
      <w:kern w:val="0"/>
      <w:sz w:val="32"/>
      <w:szCs w:val="32"/>
      <w:lang/>
    </w:rPr>
  </w:style>
  <w:style w:type="paragraph" w:styleId="4">
    <w:name w:val="heading 4"/>
    <w:basedOn w:val="a"/>
    <w:next w:val="a"/>
    <w:link w:val="4Char1"/>
    <w:qFormat/>
    <w:pPr>
      <w:keepNext/>
      <w:keepLines/>
      <w:spacing w:before="240" w:after="290" w:line="372" w:lineRule="auto"/>
      <w:outlineLvl w:val="3"/>
    </w:pPr>
    <w:rPr>
      <w:rFonts w:ascii="Cambria" w:hAnsi="Cambria"/>
      <w:b/>
      <w:bCs/>
      <w:kern w:val="0"/>
      <w:sz w:val="24"/>
      <w:szCs w:val="24"/>
      <w:lang/>
    </w:rPr>
  </w:style>
  <w:style w:type="paragraph" w:styleId="5">
    <w:name w:val="heading 5"/>
    <w:basedOn w:val="a"/>
    <w:next w:val="a"/>
    <w:link w:val="5Char1"/>
    <w:uiPriority w:val="9"/>
    <w:semiHidden/>
    <w:unhideWhenUsed/>
    <w:qFormat/>
    <w:pPr>
      <w:keepNext/>
      <w:keepLines/>
      <w:spacing w:before="240" w:after="290" w:line="372" w:lineRule="auto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Char1"/>
    <w:uiPriority w:val="9"/>
    <w:semiHidden/>
    <w:unhideWhenUsed/>
    <w:qFormat/>
    <w:pPr>
      <w:keepNext/>
      <w:keepLines/>
      <w:spacing w:before="240" w:after="64" w:line="312" w:lineRule="auto"/>
      <w:outlineLvl w:val="5"/>
    </w:pPr>
    <w:rPr>
      <w:rFonts w:ascii="Cambria" w:hAnsi="Cambria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000FF"/>
      <w:u w:val="single"/>
    </w:rPr>
  </w:style>
  <w:style w:type="character" w:styleId="a4">
    <w:name w:val="访问过的超链接"/>
    <w:uiPriority w:val="99"/>
    <w:semiHidden/>
    <w:unhideWhenUsed/>
    <w:rPr>
      <w:color w:val="800080"/>
      <w:u w:val="single"/>
    </w:rPr>
  </w:style>
  <w:style w:type="character" w:customStyle="1" w:styleId="1Char">
    <w:name w:val="标题 1 Char"/>
    <w:link w:val="1"/>
    <w:uiPriority w:val="9"/>
    <w:locked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locked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5Char">
    <w:name w:val="标题 5 Char"/>
    <w:link w:val="5"/>
    <w:uiPriority w:val="9"/>
    <w:semiHidden/>
    <w:locked/>
    <w:rPr>
      <w:b/>
      <w:bCs/>
      <w:kern w:val="2"/>
      <w:sz w:val="24"/>
      <w:szCs w:val="24"/>
    </w:rPr>
  </w:style>
  <w:style w:type="character" w:customStyle="1" w:styleId="6Char">
    <w:name w:val="标题 6 Char"/>
    <w:link w:val="6"/>
    <w:uiPriority w:val="9"/>
    <w:semiHidden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10">
    <w:name w:val="toc 1"/>
    <w:basedOn w:val="a"/>
    <w:next w:val="a"/>
    <w:autoRedefine/>
    <w:uiPriority w:val="39"/>
    <w:semiHidden/>
    <w:unhideWhenUsed/>
    <w:pPr>
      <w:tabs>
        <w:tab w:val="right" w:leader="dot" w:pos="8835"/>
      </w:tabs>
    </w:pPr>
    <w:rPr>
      <w:noProof/>
    </w:rPr>
  </w:style>
  <w:style w:type="paragraph" w:styleId="20">
    <w:name w:val="toc 2"/>
    <w:basedOn w:val="a"/>
    <w:next w:val="a"/>
    <w:autoRedefine/>
    <w:uiPriority w:val="39"/>
    <w:semiHidden/>
    <w:unhideWhenUsed/>
    <w:pPr>
      <w:ind w:leftChars="200" w:left="420"/>
    </w:pPr>
  </w:style>
  <w:style w:type="paragraph" w:styleId="30">
    <w:name w:val="toc 3"/>
    <w:basedOn w:val="a"/>
    <w:next w:val="a"/>
    <w:autoRedefine/>
    <w:uiPriority w:val="39"/>
    <w:semiHidden/>
    <w:unhideWhenUsed/>
  </w:style>
  <w:style w:type="paragraph" w:styleId="a6">
    <w:name w:val="footnote text"/>
    <w:basedOn w:val="a"/>
    <w:link w:val="Char1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link w:val="a6"/>
    <w:locked/>
    <w:rPr>
      <w:kern w:val="2"/>
      <w:sz w:val="18"/>
      <w:szCs w:val="18"/>
    </w:rPr>
  </w:style>
  <w:style w:type="paragraph" w:styleId="a7">
    <w:name w:val="header"/>
    <w:basedOn w:val="a"/>
    <w:link w:val="Char1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uiPriority w:val="99"/>
    <w:locked/>
    <w:rPr>
      <w:kern w:val="2"/>
      <w:sz w:val="18"/>
      <w:szCs w:val="18"/>
    </w:rPr>
  </w:style>
  <w:style w:type="paragraph" w:styleId="a8">
    <w:name w:val="footer"/>
    <w:basedOn w:val="a"/>
    <w:link w:val="Char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link w:val="a8"/>
    <w:uiPriority w:val="99"/>
    <w:locked/>
    <w:rPr>
      <w:kern w:val="2"/>
      <w:sz w:val="18"/>
      <w:szCs w:val="18"/>
    </w:rPr>
  </w:style>
  <w:style w:type="paragraph" w:styleId="a9">
    <w:name w:val="Title"/>
    <w:basedOn w:val="1"/>
    <w:next w:val="2"/>
    <w:link w:val="Char12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character" w:customStyle="1" w:styleId="Char3">
    <w:name w:val="标题 Char"/>
    <w:link w:val="a9"/>
    <w:uiPriority w:val="10"/>
    <w:locked/>
    <w:rPr>
      <w:rFonts w:ascii="Cambria" w:hAnsi="Cambria" w:cs="Times New Roman" w:hint="default"/>
      <w:b/>
      <w:bCs/>
      <w:kern w:val="2"/>
      <w:sz w:val="32"/>
      <w:szCs w:val="32"/>
    </w:rPr>
  </w:style>
  <w:style w:type="paragraph" w:styleId="aa">
    <w:name w:val="Subtitle"/>
    <w:basedOn w:val="2"/>
    <w:next w:val="3"/>
    <w:link w:val="Char13"/>
    <w:qFormat/>
    <w:pPr>
      <w:spacing w:before="240" w:after="60" w:line="312" w:lineRule="auto"/>
      <w:jc w:val="left"/>
    </w:pPr>
    <w:rPr>
      <w:bCs w:val="0"/>
      <w:kern w:val="24"/>
      <w:sz w:val="24"/>
    </w:rPr>
  </w:style>
  <w:style w:type="character" w:customStyle="1" w:styleId="Char4">
    <w:name w:val="副标题 Char"/>
    <w:link w:val="aa"/>
    <w:locked/>
    <w:rPr>
      <w:rFonts w:ascii="Cambria" w:hAnsi="Cambria" w:cs="Times New Roman" w:hint="default"/>
      <w:b/>
      <w:bCs/>
      <w:kern w:val="24"/>
      <w:sz w:val="32"/>
      <w:szCs w:val="32"/>
    </w:rPr>
  </w:style>
  <w:style w:type="paragraph" w:styleId="ab">
    <w:name w:val="Date"/>
    <w:basedOn w:val="a"/>
    <w:next w:val="a"/>
    <w:link w:val="Char14"/>
    <w:rPr>
      <w:sz w:val="32"/>
      <w:lang/>
    </w:rPr>
  </w:style>
  <w:style w:type="character" w:customStyle="1" w:styleId="Char5">
    <w:name w:val="日期 Char"/>
    <w:link w:val="ab"/>
    <w:locked/>
    <w:rPr>
      <w:kern w:val="2"/>
      <w:sz w:val="21"/>
    </w:rPr>
  </w:style>
  <w:style w:type="paragraph" w:styleId="ac">
    <w:name w:val="Document Map"/>
    <w:basedOn w:val="a"/>
    <w:link w:val="Char15"/>
    <w:pPr>
      <w:shd w:val="clear" w:color="auto" w:fill="000080"/>
    </w:pPr>
  </w:style>
  <w:style w:type="character" w:customStyle="1" w:styleId="Char6">
    <w:name w:val="文档结构图 Char"/>
    <w:link w:val="ac"/>
    <w:locked/>
    <w:rPr>
      <w:rFonts w:ascii="宋体" w:eastAsia="宋体" w:hAnsi="宋体" w:hint="eastAsia"/>
      <w:kern w:val="2"/>
      <w:sz w:val="18"/>
      <w:szCs w:val="18"/>
    </w:rPr>
  </w:style>
  <w:style w:type="paragraph" w:styleId="ad">
    <w:name w:val="Balloon Text"/>
    <w:basedOn w:val="a"/>
    <w:link w:val="Char16"/>
    <w:uiPriority w:val="99"/>
    <w:semiHidden/>
    <w:unhideWhenUsed/>
    <w:rPr>
      <w:sz w:val="18"/>
      <w:szCs w:val="18"/>
    </w:rPr>
  </w:style>
  <w:style w:type="character" w:customStyle="1" w:styleId="Char7">
    <w:name w:val="批注框文本 Char"/>
    <w:link w:val="ad"/>
    <w:uiPriority w:val="99"/>
    <w:semiHidden/>
    <w:locked/>
    <w:rPr>
      <w:kern w:val="2"/>
      <w:sz w:val="18"/>
      <w:szCs w:val="18"/>
    </w:rPr>
  </w:style>
  <w:style w:type="paragraph" w:styleId="TOC">
    <w:name w:val="TOC Heading"/>
    <w:basedOn w:val="1"/>
    <w:next w:val="a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val="en-US" w:eastAsia="zh-CN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BRLTitle6">
    <w:name w:val="XBRLTitle6"/>
    <w:basedOn w:val="aa"/>
    <w:next w:val="4"/>
    <w:qFormat/>
    <w:pPr>
      <w:numPr>
        <w:ilvl w:val="5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ae">
    <w:name w:val="次标题"/>
    <w:basedOn w:val="3"/>
    <w:next w:val="a"/>
    <w:pPr>
      <w:spacing w:before="120" w:after="120"/>
      <w:jc w:val="left"/>
    </w:pPr>
    <w:rPr>
      <w:sz w:val="21"/>
    </w:rPr>
  </w:style>
  <w:style w:type="paragraph" w:customStyle="1" w:styleId="XBRL6">
    <w:name w:val="XBRL标题6"/>
    <w:basedOn w:val="aa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2">
    <w:name w:val="XBRL标题2"/>
    <w:basedOn w:val="aa"/>
    <w:next w:val="4"/>
    <w:qFormat/>
    <w:pPr>
      <w:spacing w:beforeLines="50" w:after="0" w:line="240" w:lineRule="auto"/>
    </w:pPr>
    <w:rPr>
      <w:bCs/>
    </w:rPr>
  </w:style>
  <w:style w:type="paragraph" w:customStyle="1" w:styleId="XBRL3">
    <w:name w:val="XBRL标题3"/>
    <w:basedOn w:val="aa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keepNext w:val="0"/>
      <w:keepLines w:val="0"/>
      <w:numPr>
        <w:numId w:val="2"/>
      </w:numPr>
      <w:spacing w:beforeLines="50" w:after="0" w:line="240" w:lineRule="auto"/>
      <w:jc w:val="center"/>
    </w:pPr>
    <w:rPr>
      <w:rFonts w:hAnsi="Cambria"/>
      <w:sz w:val="24"/>
    </w:rPr>
  </w:style>
  <w:style w:type="paragraph" w:customStyle="1" w:styleId="XBRLTitle2">
    <w:name w:val="XBRLTitle2"/>
    <w:basedOn w:val="aa"/>
    <w:next w:val="4"/>
    <w:qFormat/>
    <w:pPr>
      <w:keepNext w:val="0"/>
      <w:keepLines w:val="0"/>
      <w:numPr>
        <w:ilvl w:val="1"/>
        <w:numId w:val="2"/>
      </w:numPr>
      <w:spacing w:beforeLines="50" w:after="0" w:line="240" w:lineRule="auto"/>
      <w:ind w:left="454"/>
    </w:pPr>
    <w:rPr>
      <w:rFonts w:ascii="宋体"/>
      <w:bCs/>
    </w:rPr>
  </w:style>
  <w:style w:type="paragraph" w:customStyle="1" w:styleId="XBRLTitle5">
    <w:name w:val="XBRLTitle5"/>
    <w:basedOn w:val="aa"/>
    <w:next w:val="4"/>
    <w:qFormat/>
    <w:pPr>
      <w:numPr>
        <w:ilvl w:val="4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Char8">
    <w:name w:val="Char"/>
    <w:basedOn w:val="a"/>
  </w:style>
  <w:style w:type="paragraph" w:customStyle="1" w:styleId="CharCharCharCharCharChar1CharCharChar">
    <w:name w:val="Char Char Char Char Char Char1 Char Char Char"/>
    <w:basedOn w:val="a"/>
    <w:pPr>
      <w:autoSpaceDE w:val="0"/>
      <w:autoSpaceDN w:val="0"/>
      <w:adjustRightInd w:val="0"/>
      <w:jc w:val="left"/>
    </w:pPr>
  </w:style>
  <w:style w:type="paragraph" w:customStyle="1" w:styleId="XBRL1">
    <w:name w:val="XBRL标题1"/>
    <w:basedOn w:val="1"/>
    <w:next w:val="2"/>
    <w:qFormat/>
    <w:pPr>
      <w:spacing w:beforeLines="50" w:after="0" w:line="240" w:lineRule="auto"/>
      <w:jc w:val="center"/>
    </w:pPr>
    <w:rPr>
      <w:rFonts w:ascii="Cambria" w:hAnsi="Cambria"/>
      <w:sz w:val="24"/>
    </w:rPr>
  </w:style>
  <w:style w:type="paragraph" w:customStyle="1" w:styleId="XBRL5">
    <w:name w:val="XBRL标题5"/>
    <w:basedOn w:val="aa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4">
    <w:name w:val="XBRL标题4"/>
    <w:basedOn w:val="aa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Title4">
    <w:name w:val="XBRLTitle4"/>
    <w:basedOn w:val="aa"/>
    <w:next w:val="4"/>
    <w:qFormat/>
    <w:pPr>
      <w:numPr>
        <w:ilvl w:val="3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24"/>
    </w:rPr>
  </w:style>
  <w:style w:type="paragraph" w:customStyle="1" w:styleId="XBRLTitle3">
    <w:name w:val="XBRLTitle3"/>
    <w:basedOn w:val="aa"/>
    <w:next w:val="4"/>
    <w:autoRedefine/>
    <w:qFormat/>
    <w:pPr>
      <w:keepNext w:val="0"/>
      <w:keepLines w:val="0"/>
      <w:numPr>
        <w:ilvl w:val="2"/>
        <w:numId w:val="2"/>
      </w:numPr>
      <w:spacing w:beforeLines="50" w:after="0" w:line="360" w:lineRule="auto"/>
      <w:ind w:left="0" w:firstLine="0"/>
      <w:outlineLvl w:val="9"/>
    </w:pPr>
    <w:rPr>
      <w:rFonts w:ascii="宋体"/>
      <w:bCs/>
    </w:rPr>
  </w:style>
  <w:style w:type="paragraph" w:customStyle="1" w:styleId="Default">
    <w:name w:val="Default"/>
    <w:basedOn w:val="a"/>
    <w:pPr>
      <w:autoSpaceDE w:val="0"/>
      <w:autoSpaceDN w:val="0"/>
      <w:adjustRightInd w:val="0"/>
      <w:jc w:val="left"/>
    </w:pPr>
    <w:rPr>
      <w:rFonts w:ascii="仿宋" w:eastAsia="仿宋" w:hAnsi="仿宋"/>
      <w:color w:val="000000"/>
      <w:kern w:val="0"/>
      <w:sz w:val="24"/>
      <w:szCs w:val="24"/>
    </w:rPr>
  </w:style>
  <w:style w:type="character" w:styleId="af">
    <w:name w:val="footnote reference"/>
    <w:rPr>
      <w:vertAlign w:val="superscript"/>
    </w:rPr>
  </w:style>
  <w:style w:type="character" w:customStyle="1" w:styleId="11">
    <w:name w:val="标题 1 字符"/>
    <w:link w:val="1"/>
    <w:uiPriority w:val="9"/>
    <w:locked/>
    <w:rPr>
      <w:b/>
      <w:bCs/>
      <w:kern w:val="44"/>
      <w:sz w:val="44"/>
      <w:szCs w:val="44"/>
    </w:rPr>
  </w:style>
  <w:style w:type="character" w:customStyle="1" w:styleId="21">
    <w:name w:val="标题 2 字符"/>
    <w:link w:val="2"/>
    <w:uiPriority w:val="9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31">
    <w:name w:val="标题 3 字符"/>
    <w:link w:val="3"/>
    <w:uiPriority w:val="9"/>
    <w:locked/>
    <w:rPr>
      <w:b/>
      <w:bCs/>
      <w:kern w:val="2"/>
      <w:sz w:val="32"/>
      <w:szCs w:val="32"/>
    </w:rPr>
  </w:style>
  <w:style w:type="character" w:customStyle="1" w:styleId="40">
    <w:name w:val="标题 4 字符"/>
    <w:link w:val="4"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af0">
    <w:name w:val="脚注文本 字符"/>
    <w:link w:val="a6"/>
    <w:locked/>
    <w:rPr>
      <w:kern w:val="2"/>
      <w:sz w:val="18"/>
      <w:szCs w:val="18"/>
    </w:rPr>
  </w:style>
  <w:style w:type="character" w:customStyle="1" w:styleId="af1">
    <w:name w:val="页眉 字符"/>
    <w:link w:val="a7"/>
    <w:locked/>
    <w:rPr>
      <w:kern w:val="2"/>
      <w:sz w:val="18"/>
      <w:szCs w:val="18"/>
    </w:rPr>
  </w:style>
  <w:style w:type="character" w:customStyle="1" w:styleId="af2">
    <w:name w:val="页脚 字符"/>
    <w:link w:val="a8"/>
    <w:uiPriority w:val="99"/>
    <w:locked/>
    <w:rPr>
      <w:kern w:val="2"/>
      <w:sz w:val="18"/>
      <w:szCs w:val="18"/>
    </w:rPr>
  </w:style>
  <w:style w:type="character" w:customStyle="1" w:styleId="af3">
    <w:name w:val="标题 字符"/>
    <w:link w:val="a9"/>
    <w:uiPriority w:val="10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af4">
    <w:name w:val="副标题 字符"/>
    <w:link w:val="aa"/>
    <w:locked/>
    <w:rPr>
      <w:rFonts w:ascii="Calibri" w:eastAsia="宋体" w:hAnsi="Calibri" w:cs="Times New Roman" w:hint="default"/>
      <w:b/>
      <w:bCs/>
      <w:kern w:val="24"/>
      <w:sz w:val="32"/>
      <w:szCs w:val="32"/>
    </w:rPr>
  </w:style>
  <w:style w:type="character" w:customStyle="1" w:styleId="af5">
    <w:name w:val="日期 字符"/>
    <w:link w:val="ab"/>
    <w:locked/>
    <w:rPr>
      <w:kern w:val="2"/>
      <w:sz w:val="21"/>
    </w:rPr>
  </w:style>
  <w:style w:type="character" w:customStyle="1" w:styleId="af6">
    <w:name w:val="文档结构图 字符"/>
    <w:link w:val="ac"/>
    <w:locked/>
    <w:rPr>
      <w:rFonts w:ascii="Microsoft YaHei UI" w:eastAsia="Microsoft YaHei UI" w:hAnsi="Microsoft YaHei UI" w:hint="eastAsia"/>
      <w:kern w:val="2"/>
      <w:sz w:val="18"/>
      <w:szCs w:val="18"/>
    </w:rPr>
  </w:style>
  <w:style w:type="character" w:customStyle="1" w:styleId="af7">
    <w:name w:val="批注框文本 字符"/>
    <w:link w:val="ad"/>
    <w:uiPriority w:val="99"/>
    <w:semiHidden/>
    <w:locked/>
    <w:rPr>
      <w:kern w:val="2"/>
      <w:sz w:val="18"/>
      <w:szCs w:val="18"/>
    </w:rPr>
  </w:style>
  <w:style w:type="character" w:customStyle="1" w:styleId="1Char1">
    <w:name w:val="标题 1 Char1"/>
    <w:link w:val="1"/>
    <w:uiPriority w:val="9"/>
    <w:locked/>
    <w:rPr>
      <w:b/>
      <w:bCs/>
      <w:kern w:val="44"/>
      <w:sz w:val="44"/>
      <w:szCs w:val="44"/>
    </w:rPr>
  </w:style>
  <w:style w:type="character" w:customStyle="1" w:styleId="2Char1">
    <w:name w:val="标题 2 Char1"/>
    <w:link w:val="2"/>
    <w:uiPriority w:val="9"/>
    <w:locked/>
    <w:rPr>
      <w:rFonts w:ascii="Cambria" w:eastAsia="宋体" w:hAnsi="Cambria" w:cs="宋体" w:hint="default"/>
      <w:b/>
      <w:bCs/>
      <w:sz w:val="32"/>
      <w:szCs w:val="32"/>
    </w:rPr>
  </w:style>
  <w:style w:type="character" w:customStyle="1" w:styleId="3Char1">
    <w:name w:val="标题 3 Char1"/>
    <w:link w:val="3"/>
    <w:uiPriority w:val="9"/>
    <w:locked/>
    <w:rPr>
      <w:b/>
      <w:bCs/>
      <w:sz w:val="32"/>
      <w:szCs w:val="32"/>
    </w:rPr>
  </w:style>
  <w:style w:type="character" w:customStyle="1" w:styleId="4Char1">
    <w:name w:val="标题 4 Char1"/>
    <w:link w:val="4"/>
    <w:semiHidden/>
    <w:locked/>
    <w:rPr>
      <w:rFonts w:ascii="Cambria" w:eastAsia="宋体" w:hAnsi="Cambria" w:cs="宋体" w:hint="default"/>
      <w:b/>
      <w:bCs/>
      <w:sz w:val="24"/>
      <w:szCs w:val="24"/>
    </w:rPr>
  </w:style>
  <w:style w:type="character" w:customStyle="1" w:styleId="Char1">
    <w:name w:val="脚注文本 Char1"/>
    <w:link w:val="a6"/>
    <w:locked/>
    <w:rPr>
      <w:kern w:val="2"/>
      <w:sz w:val="18"/>
      <w:szCs w:val="18"/>
    </w:rPr>
  </w:style>
  <w:style w:type="character" w:customStyle="1" w:styleId="Char10">
    <w:name w:val="页眉 Char1"/>
    <w:link w:val="a7"/>
    <w:locked/>
    <w:rPr>
      <w:kern w:val="2"/>
      <w:sz w:val="18"/>
      <w:szCs w:val="18"/>
    </w:rPr>
  </w:style>
  <w:style w:type="character" w:customStyle="1" w:styleId="Char11">
    <w:name w:val="页脚 Char1"/>
    <w:link w:val="a8"/>
    <w:uiPriority w:val="99"/>
    <w:locked/>
    <w:rPr>
      <w:kern w:val="2"/>
      <w:sz w:val="18"/>
      <w:szCs w:val="18"/>
    </w:rPr>
  </w:style>
  <w:style w:type="character" w:customStyle="1" w:styleId="Char12">
    <w:name w:val="标题 Char1"/>
    <w:link w:val="a9"/>
    <w:uiPriority w:val="10"/>
    <w:locked/>
    <w:rPr>
      <w:rFonts w:ascii="Cambria" w:hAnsi="Cambria" w:cs="宋体" w:hint="default"/>
      <w:b/>
      <w:bCs/>
      <w:sz w:val="32"/>
      <w:szCs w:val="32"/>
    </w:rPr>
  </w:style>
  <w:style w:type="character" w:customStyle="1" w:styleId="Char13">
    <w:name w:val="副标题 Char1"/>
    <w:link w:val="aa"/>
    <w:locked/>
    <w:rPr>
      <w:rFonts w:ascii="Cambria" w:eastAsia="宋体" w:hAnsi="Cambria" w:cs="宋体" w:hint="default"/>
      <w:b/>
      <w:bCs w:val="0"/>
      <w:kern w:val="24"/>
      <w:sz w:val="24"/>
      <w:szCs w:val="32"/>
    </w:rPr>
  </w:style>
  <w:style w:type="character" w:customStyle="1" w:styleId="Char14">
    <w:name w:val="日期 Char1"/>
    <w:link w:val="ab"/>
    <w:locked/>
    <w:rPr>
      <w:rFonts w:ascii="宋体" w:eastAsia="宋体" w:hAnsi="宋体" w:hint="eastAsia"/>
      <w:kern w:val="2"/>
      <w:sz w:val="32"/>
    </w:rPr>
  </w:style>
  <w:style w:type="character" w:customStyle="1" w:styleId="Char15">
    <w:name w:val="文档结构图 Char1"/>
    <w:link w:val="ac"/>
    <w:locked/>
    <w:rPr>
      <w:rFonts w:ascii="宋体" w:eastAsia="宋体" w:hAnsi="宋体" w:hint="eastAsia"/>
      <w:kern w:val="2"/>
      <w:sz w:val="18"/>
      <w:szCs w:val="18"/>
    </w:rPr>
  </w:style>
  <w:style w:type="character" w:customStyle="1" w:styleId="Char16">
    <w:name w:val="批注框文本 Char1"/>
    <w:link w:val="ad"/>
    <w:uiPriority w:val="99"/>
    <w:semiHidden/>
    <w:locked/>
    <w:rPr>
      <w:kern w:val="2"/>
      <w:sz w:val="18"/>
      <w:szCs w:val="18"/>
    </w:rPr>
  </w:style>
  <w:style w:type="character" w:customStyle="1" w:styleId="5Char1">
    <w:name w:val="标题 5 Char1"/>
    <w:link w:val="5"/>
    <w:uiPriority w:val="9"/>
    <w:semiHidden/>
    <w:locked/>
    <w:rPr>
      <w:b/>
      <w:bCs/>
      <w:kern w:val="2"/>
      <w:sz w:val="24"/>
      <w:szCs w:val="24"/>
    </w:rPr>
  </w:style>
  <w:style w:type="character" w:customStyle="1" w:styleId="6Char1">
    <w:name w:val="标题 6 Char1"/>
    <w:link w:val="6"/>
    <w:uiPriority w:val="9"/>
    <w:semiHidden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12">
    <w:name w:val="页眉 字符1"/>
    <w:locked/>
    <w:rPr>
      <w:kern w:val="2"/>
      <w:sz w:val="18"/>
      <w:szCs w:val="18"/>
    </w:rPr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53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  <w:doNotRelyOnCSS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EB105-7B24-4F28-BFF4-4A2914961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730</Characters>
  <Application>Microsoft Office Word</Application>
  <DocSecurity>4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yss</dc:creator>
  <cp:keywords/>
  <dc:description/>
  <cp:lastModifiedBy>ZHONGM</cp:lastModifiedBy>
  <cp:revision>2</cp:revision>
  <dcterms:created xsi:type="dcterms:W3CDTF">2025-07-23T16:02:00Z</dcterms:created>
  <dcterms:modified xsi:type="dcterms:W3CDTF">2025-07-23T16:02:00Z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