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61D" w:rsidRDefault="00CC1536" w:rsidP="00155CEF">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泉果基金管理有限公司</w:t>
      </w:r>
    </w:p>
    <w:p w:rsidR="009E261D" w:rsidRDefault="00CC1536" w:rsidP="00155CEF">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旗下基金2025年</w:t>
      </w:r>
      <w:r w:rsidR="00BA135A">
        <w:rPr>
          <w:rFonts w:ascii="仿宋" w:eastAsia="仿宋" w:hAnsi="仿宋" w:hint="eastAsia"/>
          <w:b/>
          <w:color w:val="000000" w:themeColor="text1"/>
          <w:sz w:val="32"/>
          <w:szCs w:val="32"/>
        </w:rPr>
        <w:t>第2季度</w:t>
      </w:r>
      <w:r>
        <w:rPr>
          <w:rFonts w:ascii="仿宋" w:eastAsia="仿宋" w:hAnsi="仿宋" w:hint="eastAsia"/>
          <w:b/>
          <w:color w:val="000000" w:themeColor="text1"/>
          <w:sz w:val="32"/>
          <w:szCs w:val="32"/>
        </w:rPr>
        <w:t>报告提示性公告</w:t>
      </w:r>
    </w:p>
    <w:p w:rsidR="009E261D" w:rsidRDefault="009E261D" w:rsidP="00155CEF">
      <w:pPr>
        <w:spacing w:line="540" w:lineRule="exact"/>
        <w:ind w:firstLineChars="50" w:firstLine="160"/>
        <w:jc w:val="center"/>
        <w:rPr>
          <w:rFonts w:ascii="仿宋" w:eastAsia="仿宋" w:hAnsi="仿宋"/>
          <w:b/>
          <w:color w:val="000000" w:themeColor="text1"/>
          <w:sz w:val="32"/>
          <w:szCs w:val="32"/>
        </w:rPr>
      </w:pPr>
    </w:p>
    <w:p w:rsidR="009E261D" w:rsidRDefault="00CC153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本公司董事会及董事保证基金季度报告所载资料不存在虚假记载、误导性陈述或重大遗漏，并对其内容的真实性、准确性和完整性承担个别及连带责任。</w:t>
      </w:r>
    </w:p>
    <w:p w:rsidR="009E261D" w:rsidRDefault="00CC1536">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泉果基金管理有限公司旗下泉果旭源三年持有期混合型证券投资基金2025年</w:t>
      </w:r>
      <w:r w:rsidR="00BA135A">
        <w:rPr>
          <w:rFonts w:ascii="仿宋" w:eastAsia="仿宋" w:hAnsi="仿宋" w:hint="eastAsia"/>
          <w:color w:val="000000" w:themeColor="text1"/>
          <w:sz w:val="32"/>
          <w:szCs w:val="32"/>
        </w:rPr>
        <w:t>第2季度</w:t>
      </w:r>
      <w:r>
        <w:rPr>
          <w:rFonts w:ascii="仿宋" w:eastAsia="仿宋" w:hAnsi="仿宋"/>
          <w:color w:val="000000" w:themeColor="text1"/>
          <w:sz w:val="32"/>
          <w:szCs w:val="32"/>
        </w:rPr>
        <w:t>报告</w:t>
      </w:r>
      <w:r>
        <w:rPr>
          <w:rFonts w:ascii="仿宋" w:eastAsia="仿宋" w:hAnsi="仿宋" w:hint="eastAsia"/>
          <w:color w:val="000000" w:themeColor="text1"/>
          <w:sz w:val="32"/>
          <w:szCs w:val="32"/>
        </w:rPr>
        <w:t>、泉果思源三年持有期混合型证券投资基金2025年</w:t>
      </w:r>
      <w:r w:rsidR="00BA135A">
        <w:rPr>
          <w:rFonts w:ascii="仿宋" w:eastAsia="仿宋" w:hAnsi="仿宋" w:hint="eastAsia"/>
          <w:color w:val="000000" w:themeColor="text1"/>
          <w:sz w:val="32"/>
          <w:szCs w:val="32"/>
        </w:rPr>
        <w:t>第2季度</w:t>
      </w:r>
      <w:r>
        <w:rPr>
          <w:rFonts w:ascii="仿宋" w:eastAsia="仿宋" w:hAnsi="仿宋"/>
          <w:color w:val="000000" w:themeColor="text1"/>
          <w:sz w:val="32"/>
          <w:szCs w:val="32"/>
        </w:rPr>
        <w:t>报告</w:t>
      </w:r>
      <w:r>
        <w:rPr>
          <w:rFonts w:ascii="仿宋" w:eastAsia="仿宋" w:hAnsi="仿宋" w:hint="eastAsia"/>
          <w:color w:val="000000" w:themeColor="text1"/>
          <w:sz w:val="32"/>
          <w:szCs w:val="32"/>
        </w:rPr>
        <w:t>、泉果嘉源三年持有期混合型证券投资基金2025年</w:t>
      </w:r>
      <w:r w:rsidR="00BA135A">
        <w:rPr>
          <w:rFonts w:ascii="仿宋" w:eastAsia="仿宋" w:hAnsi="仿宋" w:hint="eastAsia"/>
          <w:color w:val="000000" w:themeColor="text1"/>
          <w:sz w:val="32"/>
          <w:szCs w:val="32"/>
        </w:rPr>
        <w:t>第2季度</w:t>
      </w:r>
      <w:r>
        <w:rPr>
          <w:rFonts w:ascii="仿宋" w:eastAsia="仿宋" w:hAnsi="仿宋"/>
          <w:color w:val="000000" w:themeColor="text1"/>
          <w:sz w:val="32"/>
          <w:szCs w:val="32"/>
        </w:rPr>
        <w:t>报告</w:t>
      </w:r>
      <w:r>
        <w:rPr>
          <w:rFonts w:ascii="仿宋" w:eastAsia="仿宋" w:hAnsi="仿宋" w:hint="eastAsia"/>
          <w:color w:val="000000" w:themeColor="text1"/>
          <w:sz w:val="32"/>
          <w:szCs w:val="32"/>
        </w:rPr>
        <w:t>、泉果泰然30天持有期债券型证券投资基金2025年</w:t>
      </w:r>
      <w:r w:rsidR="00BA135A">
        <w:rPr>
          <w:rFonts w:ascii="仿宋" w:eastAsia="仿宋" w:hAnsi="仿宋" w:hint="eastAsia"/>
          <w:color w:val="000000" w:themeColor="text1"/>
          <w:sz w:val="32"/>
          <w:szCs w:val="32"/>
        </w:rPr>
        <w:t>第2季度</w:t>
      </w:r>
      <w:r>
        <w:rPr>
          <w:rFonts w:ascii="仿宋" w:eastAsia="仿宋" w:hAnsi="仿宋"/>
          <w:color w:val="000000" w:themeColor="text1"/>
          <w:sz w:val="32"/>
          <w:szCs w:val="32"/>
        </w:rPr>
        <w:t>报告</w:t>
      </w:r>
      <w:r>
        <w:rPr>
          <w:rFonts w:ascii="仿宋" w:eastAsia="仿宋" w:hAnsi="仿宋" w:hint="eastAsia"/>
          <w:color w:val="000000" w:themeColor="text1"/>
          <w:sz w:val="32"/>
          <w:szCs w:val="32"/>
        </w:rPr>
        <w:t>、泉果消费机遇混合型发起式证券投资基金2025年</w:t>
      </w:r>
      <w:r w:rsidR="00BA135A">
        <w:rPr>
          <w:rFonts w:ascii="仿宋" w:eastAsia="仿宋" w:hAnsi="仿宋" w:hint="eastAsia"/>
          <w:color w:val="000000" w:themeColor="text1"/>
          <w:sz w:val="32"/>
          <w:szCs w:val="32"/>
        </w:rPr>
        <w:t>第2季度</w:t>
      </w:r>
      <w:r>
        <w:rPr>
          <w:rFonts w:ascii="仿宋" w:eastAsia="仿宋" w:hAnsi="仿宋" w:hint="eastAsia"/>
          <w:color w:val="000000" w:themeColor="text1"/>
          <w:sz w:val="32"/>
          <w:szCs w:val="32"/>
        </w:rPr>
        <w:t>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于2</w:t>
      </w:r>
      <w:r>
        <w:rPr>
          <w:rFonts w:ascii="仿宋" w:eastAsia="仿宋" w:hAnsi="仿宋"/>
          <w:color w:val="000000" w:themeColor="text1"/>
          <w:sz w:val="32"/>
          <w:szCs w:val="32"/>
        </w:rPr>
        <w:t>02</w:t>
      </w:r>
      <w:r>
        <w:rPr>
          <w:rFonts w:ascii="仿宋" w:eastAsia="仿宋" w:hAnsi="仿宋" w:hint="eastAsia"/>
          <w:color w:val="000000" w:themeColor="text1"/>
          <w:sz w:val="32"/>
          <w:szCs w:val="32"/>
        </w:rPr>
        <w:t>5年</w:t>
      </w:r>
      <w:r w:rsidR="00BA135A">
        <w:rPr>
          <w:rFonts w:ascii="仿宋" w:eastAsia="仿宋" w:hAnsi="仿宋"/>
          <w:color w:val="000000" w:themeColor="text1"/>
          <w:sz w:val="32"/>
          <w:szCs w:val="32"/>
        </w:rPr>
        <w:t>7</w:t>
      </w:r>
      <w:r>
        <w:rPr>
          <w:rFonts w:ascii="仿宋" w:eastAsia="仿宋" w:hAnsi="仿宋" w:hint="eastAsia"/>
          <w:color w:val="000000" w:themeColor="text1"/>
          <w:sz w:val="32"/>
          <w:szCs w:val="32"/>
        </w:rPr>
        <w:t>月2</w:t>
      </w:r>
      <w:r w:rsidR="00BA135A">
        <w:rPr>
          <w:rFonts w:ascii="仿宋" w:eastAsia="仿宋" w:hAnsi="仿宋"/>
          <w:color w:val="000000" w:themeColor="text1"/>
          <w:sz w:val="32"/>
          <w:szCs w:val="32"/>
        </w:rPr>
        <w:t>1</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r>
        <w:rPr>
          <w:rFonts w:ascii="仿宋" w:eastAsia="仿宋" w:hAnsi="仿宋"/>
          <w:color w:val="000000" w:themeColor="text1"/>
          <w:sz w:val="32"/>
          <w:szCs w:val="32"/>
        </w:rPr>
        <w:t>www.qgfund.com</w:t>
      </w:r>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r>
        <w:rPr>
          <w:rFonts w:ascii="仿宋" w:eastAsia="仿宋" w:hAnsi="仿宋" w:hint="eastAsia"/>
          <w:sz w:val="32"/>
          <w:szCs w:val="32"/>
        </w:rPr>
        <w:t>http://eid.csrc.gov.cn/fund</w:t>
      </w:r>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400-158-6599</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9E261D" w:rsidRDefault="00CC1536">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9E261D" w:rsidRDefault="00CC1536">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9E261D" w:rsidRDefault="00CC1536">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泉果基金管理有限公司</w:t>
      </w:r>
    </w:p>
    <w:p w:rsidR="009E261D" w:rsidRDefault="00CC1536">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sidR="00BA135A">
        <w:rPr>
          <w:rFonts w:ascii="仿宋" w:eastAsia="仿宋" w:hAnsi="仿宋"/>
          <w:color w:val="000000" w:themeColor="text1"/>
          <w:sz w:val="32"/>
          <w:szCs w:val="32"/>
        </w:rPr>
        <w:t>7</w:t>
      </w:r>
      <w:r>
        <w:rPr>
          <w:rFonts w:ascii="仿宋" w:eastAsia="仿宋" w:hAnsi="仿宋"/>
          <w:color w:val="000000" w:themeColor="text1"/>
          <w:sz w:val="32"/>
          <w:szCs w:val="32"/>
        </w:rPr>
        <w:t>月</w:t>
      </w:r>
      <w:r w:rsidR="00BA135A">
        <w:rPr>
          <w:rFonts w:ascii="仿宋" w:eastAsia="仿宋" w:hAnsi="仿宋"/>
          <w:color w:val="000000" w:themeColor="text1"/>
          <w:sz w:val="32"/>
          <w:szCs w:val="32"/>
        </w:rPr>
        <w:t>21</w:t>
      </w:r>
      <w:r>
        <w:rPr>
          <w:rFonts w:ascii="仿宋" w:eastAsia="仿宋" w:hAnsi="仿宋"/>
          <w:color w:val="000000" w:themeColor="text1"/>
          <w:sz w:val="32"/>
          <w:szCs w:val="32"/>
        </w:rPr>
        <w:t>日</w:t>
      </w:r>
    </w:p>
    <w:sectPr w:rsidR="009E261D" w:rsidSect="00874136">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528" w:rsidRDefault="00CC1536">
      <w:r>
        <w:separator/>
      </w:r>
    </w:p>
  </w:endnote>
  <w:endnote w:type="continuationSeparator" w:id="0">
    <w:p w:rsidR="007E5528" w:rsidRDefault="00CC15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9E261D" w:rsidRDefault="00874136">
        <w:pPr>
          <w:pStyle w:val="a5"/>
          <w:jc w:val="center"/>
        </w:pPr>
        <w:r>
          <w:fldChar w:fldCharType="begin"/>
        </w:r>
        <w:r w:rsidR="00CC1536">
          <w:instrText>PAGE   \* MERGEFORMAT</w:instrText>
        </w:r>
        <w:r>
          <w:fldChar w:fldCharType="separate"/>
        </w:r>
        <w:r w:rsidR="00CC1536">
          <w:rPr>
            <w:lang w:val="zh-CN"/>
          </w:rPr>
          <w:t>2</w:t>
        </w:r>
        <w:r>
          <w:fldChar w:fldCharType="end"/>
        </w:r>
      </w:p>
    </w:sdtContent>
  </w:sdt>
  <w:p w:rsidR="009E261D" w:rsidRDefault="009E261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9E261D" w:rsidRDefault="00874136">
        <w:pPr>
          <w:pStyle w:val="a5"/>
          <w:jc w:val="center"/>
        </w:pPr>
        <w:r>
          <w:fldChar w:fldCharType="begin"/>
        </w:r>
        <w:r w:rsidR="00CC1536">
          <w:instrText>PAGE   \* MERGEFORMAT</w:instrText>
        </w:r>
        <w:r>
          <w:fldChar w:fldCharType="separate"/>
        </w:r>
        <w:r w:rsidR="00155CEF" w:rsidRPr="00155CEF">
          <w:rPr>
            <w:noProof/>
            <w:lang w:val="zh-CN"/>
          </w:rPr>
          <w:t>1</w:t>
        </w:r>
        <w:r>
          <w:fldChar w:fldCharType="end"/>
        </w:r>
      </w:p>
    </w:sdtContent>
  </w:sdt>
  <w:p w:rsidR="009E261D" w:rsidRDefault="009E261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528" w:rsidRDefault="00CC1536">
      <w:r>
        <w:separator/>
      </w:r>
    </w:p>
  </w:footnote>
  <w:footnote w:type="continuationSeparator" w:id="0">
    <w:p w:rsidR="007E5528" w:rsidRDefault="00CC15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FjNDA3ZjMyMmMxMTI5YjZlZjU5ODlkOThlZmY1NTQifQ=="/>
  </w:docVars>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55CEF"/>
    <w:rsid w:val="001623CF"/>
    <w:rsid w:val="00165D5C"/>
    <w:rsid w:val="00166B15"/>
    <w:rsid w:val="00174C8C"/>
    <w:rsid w:val="0017571E"/>
    <w:rsid w:val="00175AED"/>
    <w:rsid w:val="00191702"/>
    <w:rsid w:val="00192262"/>
    <w:rsid w:val="001A593B"/>
    <w:rsid w:val="001D04AB"/>
    <w:rsid w:val="001D2521"/>
    <w:rsid w:val="001D74AE"/>
    <w:rsid w:val="001E7CAD"/>
    <w:rsid w:val="001F125D"/>
    <w:rsid w:val="001F15CB"/>
    <w:rsid w:val="001F533E"/>
    <w:rsid w:val="001F5AE6"/>
    <w:rsid w:val="0021172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A696E"/>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074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E5528"/>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4136"/>
    <w:rsid w:val="00876EC6"/>
    <w:rsid w:val="00881B61"/>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261D"/>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35A"/>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2307"/>
    <w:rsid w:val="00C44634"/>
    <w:rsid w:val="00C45644"/>
    <w:rsid w:val="00C51B56"/>
    <w:rsid w:val="00C5361C"/>
    <w:rsid w:val="00C53B3E"/>
    <w:rsid w:val="00C608FA"/>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1536"/>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62A7B"/>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53B9"/>
    <w:rsid w:val="00FD658E"/>
    <w:rsid w:val="00FE0C5A"/>
    <w:rsid w:val="00FE13A2"/>
    <w:rsid w:val="0F6D11F7"/>
    <w:rsid w:val="0FB563BD"/>
    <w:rsid w:val="1AD64135"/>
    <w:rsid w:val="34474DD2"/>
    <w:rsid w:val="37182A56"/>
    <w:rsid w:val="54E6053A"/>
    <w:rsid w:val="54F113E2"/>
    <w:rsid w:val="566D2C98"/>
    <w:rsid w:val="589D77DF"/>
    <w:rsid w:val="65B02F33"/>
    <w:rsid w:val="6FA06558"/>
    <w:rsid w:val="705D36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74136"/>
    <w:pPr>
      <w:widowControl w:val="0"/>
      <w:jc w:val="both"/>
    </w:pPr>
    <w:rPr>
      <w:kern w:val="2"/>
      <w:sz w:val="21"/>
      <w:szCs w:val="22"/>
    </w:rPr>
  </w:style>
  <w:style w:type="paragraph" w:styleId="1">
    <w:name w:val="heading 1"/>
    <w:basedOn w:val="a"/>
    <w:next w:val="a"/>
    <w:link w:val="1Char"/>
    <w:autoRedefine/>
    <w:uiPriority w:val="9"/>
    <w:qFormat/>
    <w:rsid w:val="0087413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rsid w:val="00874136"/>
    <w:pPr>
      <w:jc w:val="left"/>
    </w:pPr>
  </w:style>
  <w:style w:type="paragraph" w:styleId="a4">
    <w:name w:val="Balloon Text"/>
    <w:basedOn w:val="a"/>
    <w:link w:val="Char0"/>
    <w:autoRedefine/>
    <w:uiPriority w:val="99"/>
    <w:semiHidden/>
    <w:unhideWhenUsed/>
    <w:qFormat/>
    <w:rsid w:val="00874136"/>
    <w:rPr>
      <w:sz w:val="18"/>
      <w:szCs w:val="18"/>
    </w:rPr>
  </w:style>
  <w:style w:type="paragraph" w:styleId="a5">
    <w:name w:val="footer"/>
    <w:basedOn w:val="a"/>
    <w:link w:val="Char1"/>
    <w:autoRedefine/>
    <w:uiPriority w:val="99"/>
    <w:unhideWhenUsed/>
    <w:qFormat/>
    <w:rsid w:val="00874136"/>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rsid w:val="00874136"/>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autoRedefine/>
    <w:uiPriority w:val="99"/>
    <w:semiHidden/>
    <w:unhideWhenUsed/>
    <w:qFormat/>
    <w:rsid w:val="00874136"/>
    <w:pPr>
      <w:snapToGrid w:val="0"/>
      <w:jc w:val="left"/>
    </w:pPr>
    <w:rPr>
      <w:sz w:val="18"/>
      <w:szCs w:val="18"/>
    </w:rPr>
  </w:style>
  <w:style w:type="paragraph" w:styleId="a8">
    <w:name w:val="annotation subject"/>
    <w:basedOn w:val="a3"/>
    <w:next w:val="a3"/>
    <w:link w:val="Char4"/>
    <w:autoRedefine/>
    <w:uiPriority w:val="99"/>
    <w:semiHidden/>
    <w:unhideWhenUsed/>
    <w:qFormat/>
    <w:rsid w:val="00874136"/>
    <w:rPr>
      <w:b/>
      <w:bCs/>
    </w:rPr>
  </w:style>
  <w:style w:type="character" w:styleId="a9">
    <w:name w:val="Hyperlink"/>
    <w:basedOn w:val="a0"/>
    <w:autoRedefine/>
    <w:uiPriority w:val="99"/>
    <w:unhideWhenUsed/>
    <w:qFormat/>
    <w:rsid w:val="00874136"/>
    <w:rPr>
      <w:color w:val="0000FF" w:themeColor="hyperlink"/>
      <w:u w:val="single"/>
    </w:rPr>
  </w:style>
  <w:style w:type="character" w:styleId="aa">
    <w:name w:val="annotation reference"/>
    <w:basedOn w:val="a0"/>
    <w:autoRedefine/>
    <w:uiPriority w:val="99"/>
    <w:semiHidden/>
    <w:unhideWhenUsed/>
    <w:qFormat/>
    <w:rsid w:val="00874136"/>
    <w:rPr>
      <w:sz w:val="21"/>
      <w:szCs w:val="21"/>
    </w:rPr>
  </w:style>
  <w:style w:type="character" w:styleId="ab">
    <w:name w:val="footnote reference"/>
    <w:basedOn w:val="a0"/>
    <w:autoRedefine/>
    <w:uiPriority w:val="99"/>
    <w:semiHidden/>
    <w:unhideWhenUsed/>
    <w:qFormat/>
    <w:rsid w:val="00874136"/>
    <w:rPr>
      <w:vertAlign w:val="superscript"/>
    </w:rPr>
  </w:style>
  <w:style w:type="character" w:customStyle="1" w:styleId="Char2">
    <w:name w:val="页眉 Char"/>
    <w:basedOn w:val="a0"/>
    <w:link w:val="a6"/>
    <w:autoRedefine/>
    <w:uiPriority w:val="99"/>
    <w:qFormat/>
    <w:rsid w:val="00874136"/>
    <w:rPr>
      <w:sz w:val="18"/>
      <w:szCs w:val="18"/>
    </w:rPr>
  </w:style>
  <w:style w:type="character" w:customStyle="1" w:styleId="Char1">
    <w:name w:val="页脚 Char"/>
    <w:basedOn w:val="a0"/>
    <w:link w:val="a5"/>
    <w:autoRedefine/>
    <w:uiPriority w:val="99"/>
    <w:qFormat/>
    <w:rsid w:val="00874136"/>
    <w:rPr>
      <w:sz w:val="18"/>
      <w:szCs w:val="18"/>
    </w:rPr>
  </w:style>
  <w:style w:type="paragraph" w:styleId="ac">
    <w:name w:val="List Paragraph"/>
    <w:basedOn w:val="a"/>
    <w:autoRedefine/>
    <w:uiPriority w:val="34"/>
    <w:qFormat/>
    <w:rsid w:val="00874136"/>
    <w:pPr>
      <w:ind w:firstLineChars="200" w:firstLine="420"/>
    </w:pPr>
  </w:style>
  <w:style w:type="character" w:customStyle="1" w:styleId="Char0">
    <w:name w:val="批注框文本 Char"/>
    <w:basedOn w:val="a0"/>
    <w:link w:val="a4"/>
    <w:autoRedefine/>
    <w:uiPriority w:val="99"/>
    <w:semiHidden/>
    <w:qFormat/>
    <w:rsid w:val="00874136"/>
    <w:rPr>
      <w:sz w:val="18"/>
      <w:szCs w:val="18"/>
    </w:rPr>
  </w:style>
  <w:style w:type="character" w:customStyle="1" w:styleId="Char">
    <w:name w:val="批注文字 Char"/>
    <w:basedOn w:val="a0"/>
    <w:link w:val="a3"/>
    <w:autoRedefine/>
    <w:uiPriority w:val="99"/>
    <w:semiHidden/>
    <w:qFormat/>
    <w:rsid w:val="00874136"/>
  </w:style>
  <w:style w:type="character" w:customStyle="1" w:styleId="Char4">
    <w:name w:val="批注主题 Char"/>
    <w:basedOn w:val="Char"/>
    <w:link w:val="a8"/>
    <w:autoRedefine/>
    <w:uiPriority w:val="99"/>
    <w:semiHidden/>
    <w:qFormat/>
    <w:rsid w:val="00874136"/>
    <w:rPr>
      <w:b/>
      <w:bCs/>
    </w:rPr>
  </w:style>
  <w:style w:type="character" w:customStyle="1" w:styleId="Char3">
    <w:name w:val="脚注文本 Char"/>
    <w:basedOn w:val="a0"/>
    <w:link w:val="a7"/>
    <w:autoRedefine/>
    <w:uiPriority w:val="99"/>
    <w:semiHidden/>
    <w:qFormat/>
    <w:rsid w:val="00874136"/>
    <w:rPr>
      <w:sz w:val="18"/>
      <w:szCs w:val="18"/>
    </w:rPr>
  </w:style>
  <w:style w:type="character" w:customStyle="1" w:styleId="1Char">
    <w:name w:val="标题 1 Char"/>
    <w:basedOn w:val="a0"/>
    <w:link w:val="1"/>
    <w:autoRedefine/>
    <w:uiPriority w:val="9"/>
    <w:qFormat/>
    <w:rsid w:val="00874136"/>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D73DA-7D7B-4CF9-8C4D-1A79E7F2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4</DocSecurity>
  <Lines>3</Lines>
  <Paragraphs>1</Paragraphs>
  <ScaleCrop>false</ScaleCrop>
  <Company/>
  <LinksUpToDate>false</LinksUpToDate>
  <CharactersWithSpaces>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2025-07-20T16:02:00Z</dcterms:created>
  <dcterms:modified xsi:type="dcterms:W3CDTF">2025-07-20T16:02:00Z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E536BF473F244444AF707C8440A680E8_12</vt:lpwstr>
  </property>
  <property fmtid="{D5CDD505-2E9C-101B-9397-08002B2CF9AE}" pid="4" name="KSOTemplateDocerSaveRecord">
    <vt:lpwstr>eyJoZGlkIjoiNWFjNDA3ZjMyMmMxMTI5YjZlZjU5ODlkOThlZmY1NTQiLCJ1c2VySWQiOiI0NTA3MDgxODQifQ==</vt:lpwstr>
  </property>
</Properties>
</file>