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706" w:rsidRDefault="00004F3E" w:rsidP="00F96743">
      <w:pPr>
        <w:spacing w:line="540" w:lineRule="exact"/>
        <w:ind w:firstLineChars="50" w:firstLine="160"/>
        <w:jc w:val="center"/>
        <w:rPr>
          <w:rFonts w:ascii="仿宋" w:eastAsia="仿宋" w:hAnsi="仿宋"/>
          <w:b/>
          <w:color w:val="000000" w:themeColor="text1"/>
          <w:sz w:val="32"/>
          <w:szCs w:val="32"/>
        </w:rPr>
      </w:pPr>
      <w:bookmarkStart w:id="0" w:name="_GoBack"/>
      <w:bookmarkEnd w:id="0"/>
      <w:r>
        <w:rPr>
          <w:rFonts w:ascii="仿宋" w:eastAsia="仿宋" w:hAnsi="仿宋" w:hint="eastAsia"/>
          <w:b/>
          <w:color w:val="000000" w:themeColor="text1"/>
          <w:sz w:val="32"/>
          <w:szCs w:val="32"/>
        </w:rPr>
        <w:t>华安基金管理有限公司旗下</w:t>
      </w:r>
      <w:r>
        <w:rPr>
          <w:rFonts w:ascii="仿宋" w:eastAsia="仿宋" w:hAnsi="仿宋"/>
          <w:b/>
          <w:color w:val="000000" w:themeColor="text1"/>
          <w:sz w:val="32"/>
          <w:szCs w:val="32"/>
        </w:rPr>
        <w:t>部分</w:t>
      </w:r>
      <w:r>
        <w:rPr>
          <w:rFonts w:ascii="仿宋" w:eastAsia="仿宋" w:hAnsi="仿宋" w:hint="eastAsia"/>
          <w:b/>
          <w:color w:val="000000" w:themeColor="text1"/>
          <w:sz w:val="32"/>
          <w:szCs w:val="32"/>
        </w:rPr>
        <w:t>基金202</w:t>
      </w:r>
      <w:r w:rsidR="00F024F5">
        <w:rPr>
          <w:rFonts w:ascii="仿宋" w:eastAsia="仿宋" w:hAnsi="仿宋"/>
          <w:b/>
          <w:color w:val="000000" w:themeColor="text1"/>
          <w:sz w:val="32"/>
          <w:szCs w:val="32"/>
        </w:rPr>
        <w:t>5</w:t>
      </w:r>
      <w:r>
        <w:rPr>
          <w:rFonts w:ascii="仿宋" w:eastAsia="仿宋" w:hAnsi="仿宋" w:hint="eastAsia"/>
          <w:b/>
          <w:color w:val="000000" w:themeColor="text1"/>
          <w:sz w:val="32"/>
          <w:szCs w:val="32"/>
        </w:rPr>
        <w:t>年第</w:t>
      </w:r>
      <w:r w:rsidR="007F2F9C">
        <w:rPr>
          <w:rFonts w:ascii="仿宋" w:eastAsia="仿宋" w:hAnsi="仿宋"/>
          <w:b/>
          <w:color w:val="000000" w:themeColor="text1"/>
          <w:sz w:val="32"/>
          <w:szCs w:val="32"/>
        </w:rPr>
        <w:t>2</w:t>
      </w:r>
      <w:r>
        <w:rPr>
          <w:rFonts w:ascii="仿宋" w:eastAsia="仿宋" w:hAnsi="仿宋" w:hint="eastAsia"/>
          <w:b/>
          <w:color w:val="000000" w:themeColor="text1"/>
          <w:sz w:val="32"/>
          <w:szCs w:val="32"/>
        </w:rPr>
        <w:t>季度报告的提示性公告</w:t>
      </w:r>
    </w:p>
    <w:p w:rsidR="00235706" w:rsidRDefault="00235706" w:rsidP="00F96743">
      <w:pPr>
        <w:spacing w:line="540" w:lineRule="exact"/>
        <w:ind w:firstLineChars="50" w:firstLine="160"/>
        <w:jc w:val="center"/>
        <w:rPr>
          <w:rFonts w:ascii="仿宋" w:eastAsia="仿宋" w:hAnsi="仿宋"/>
          <w:b/>
          <w:color w:val="000000" w:themeColor="text1"/>
          <w:sz w:val="32"/>
          <w:szCs w:val="32"/>
        </w:rPr>
      </w:pPr>
    </w:p>
    <w:p w:rsidR="00235706" w:rsidRDefault="00004F3E">
      <w:pPr>
        <w:spacing w:line="560" w:lineRule="exact"/>
        <w:ind w:firstLineChars="200" w:firstLine="560"/>
        <w:jc w:val="left"/>
        <w:rPr>
          <w:rFonts w:ascii="仿宋_GB2312" w:eastAsia="仿宋_GB2312" w:hAnsi="Arial" w:cs="Arial"/>
          <w:color w:val="000000"/>
          <w:kern w:val="0"/>
          <w:sz w:val="28"/>
          <w:szCs w:val="28"/>
        </w:rPr>
      </w:pPr>
      <w:r>
        <w:rPr>
          <w:rFonts w:ascii="仿宋_GB2312" w:eastAsia="仿宋_GB2312" w:hAnsi="Arial" w:cs="Arial" w:hint="eastAsia"/>
          <w:color w:val="000000"/>
          <w:kern w:val="0"/>
          <w:sz w:val="28"/>
          <w:szCs w:val="28"/>
        </w:rPr>
        <w:t>本公司董事会及董事保证基金季度报告所载资料不存在虚假记载、误导性陈述或重大遗漏，并对其内容的真实性、准确性和完整性承担个别及连带责任。</w:t>
      </w:r>
    </w:p>
    <w:p w:rsidR="00235706" w:rsidRDefault="00004F3E" w:rsidP="000B02FD">
      <w:pPr>
        <w:rPr>
          <w:rFonts w:ascii="Arial" w:eastAsia="楷体_GB2312" w:hAnsi="Arial" w:cs="Arial"/>
          <w:b/>
          <w:color w:val="000000"/>
          <w:kern w:val="0"/>
          <w:sz w:val="32"/>
          <w:szCs w:val="32"/>
        </w:rPr>
      </w:pPr>
      <w:r>
        <w:rPr>
          <w:rFonts w:ascii="仿宋_GB2312" w:eastAsia="仿宋_GB2312" w:hAnsi="Arial" w:cs="Arial" w:hint="eastAsia"/>
          <w:color w:val="000000"/>
          <w:kern w:val="0"/>
          <w:sz w:val="28"/>
          <w:szCs w:val="28"/>
        </w:rPr>
        <w:t xml:space="preserve"> </w:t>
      </w:r>
      <w:r>
        <w:rPr>
          <w:rFonts w:ascii="仿宋_GB2312" w:eastAsia="仿宋_GB2312" w:hAnsi="Arial" w:cs="Arial"/>
          <w:color w:val="000000"/>
          <w:kern w:val="0"/>
          <w:sz w:val="28"/>
          <w:szCs w:val="28"/>
        </w:rPr>
        <w:t xml:space="preserve">   </w:t>
      </w:r>
      <w:r>
        <w:rPr>
          <w:rFonts w:ascii="仿宋_GB2312" w:eastAsia="仿宋_GB2312" w:hAnsi="Arial" w:cs="Arial" w:hint="eastAsia"/>
          <w:color w:val="000000"/>
          <w:kern w:val="0"/>
          <w:sz w:val="28"/>
          <w:szCs w:val="28"/>
        </w:rPr>
        <w:t>华安基金管理有限</w:t>
      </w:r>
      <w:r>
        <w:rPr>
          <w:rFonts w:ascii="仿宋_GB2312" w:eastAsia="仿宋_GB2312" w:hAnsi="Arial" w:cs="Arial"/>
          <w:color w:val="000000"/>
          <w:kern w:val="0"/>
          <w:sz w:val="28"/>
          <w:szCs w:val="28"/>
        </w:rPr>
        <w:t>公司</w:t>
      </w:r>
      <w:r>
        <w:rPr>
          <w:rFonts w:ascii="仿宋_GB2312" w:eastAsia="仿宋_GB2312" w:hAnsi="Arial" w:cs="Arial" w:hint="eastAsia"/>
          <w:color w:val="000000"/>
          <w:kern w:val="0"/>
          <w:sz w:val="28"/>
          <w:szCs w:val="28"/>
        </w:rPr>
        <w:t>旗下华安安信消费服务混合型证券投资基金、华安安顺灵活配置混合型证券投资基金、华安创新证券投资基金、华安MSCI中国A股指数增强型证券投资基金、华安现金富利投资基金、华安宝利配置证券投资基金、华安上证180交易型开放式指数证券投资基金、华安宏利混合型证券投资基金、华安中小盘成长混合型证券投资基金、华安策略优选混合型证券投资基金、华安稳定收益债券型证券投资基金、华安核心优选混合型证券投资基金、华安强化收益债券型证券投资基金、华安上证180交易型开放式指数证券投资基金联接基金、华安动态灵活配置混合型证券投资基金、华安行业轮动混合型证券投资基金、华安香港精选股票型证券投资基金、华安上证50交易型开放式指数证券投资基金、华安上证50交易型开放式指数证券投资基金联接基金、华安稳固收益债券型证券投资基金、华安升级主题混合型证券投资基金、华安大中华升级股票型证券投资基金、华安可转换债券债券型证券投资基金、华安新能源主题混合型证券投资基金、华安信用四季红债券型证券投资基金、华安科技动力混合型证券投资基金、华安标普全球石油指数证券投资基金（LOF）、华安逆向策略混合型证券投资基金、华安安心收益债券</w:t>
      </w:r>
      <w:r>
        <w:rPr>
          <w:rFonts w:ascii="仿宋_GB2312" w:eastAsia="仿宋_GB2312" w:hAnsi="Arial" w:cs="Arial" w:hint="eastAsia"/>
          <w:color w:val="000000"/>
          <w:kern w:val="0"/>
          <w:sz w:val="28"/>
          <w:szCs w:val="28"/>
        </w:rPr>
        <w:lastRenderedPageBreak/>
        <w:t>型证券投资基金、华安日日鑫货币市场基金、华安添鑫中短债债券型证券投资基金、华安纯债债券型发起式证券投资基金、华安稳健回报混合型证券投资基金、华安双债添利债券型证券投资基金、华安易富黄金交易型开放式证券投资基金、华安易富黄金交易型开放式证券投资基金联接基金、华安纳斯达克100交易型开放式指数证券投资基金联接基金（QDII）、华安沪深300量化增强证券投资基金、华安年年红定期开放债券型证券投资基金、华安生态优先混合型证券投资基金、华安中证细分医药交易型开放式指数证券投资基金、华安新活力灵活配置混合型证券投资基金、华安汇财通货币市场基金、华安大国新经济股票型证券投资基金、华安国际龙头（DAX）交易型开放式指数证券投资基金、华安国际龙头（DAX）交易型开放式指数证券投资基金联接基金、华安中证细分医药交易型开放式指数证券投资基金联接基金、华安纳斯达克100交易型开放式指数证券投资基金(QDII)、华安年年盈定期开放债券型证券投资基金、华安物联网主题股票型证券投资基金、华安新丝路主题股票型证券投资基金、华安新动力灵活配置混合型证券投资基金、华安智能装备主题股票型证券投资基金、华安媒体互联网混合型证券投资基金、华安新机遇灵活配置混合型证券投资基金、华安新优选灵活配置混合型证券投资基金、华安新回报灵活配置混合型证券投资基金、华安中证全指证券公司交易型开放式指数证券投资基金联接基金、华安中证银行交易型开放式指数证券投资基金联接基金、华安国企改革主题灵活配置混合型证券投资基金、华安添颐混合型发起式证券投资基金、华安创业板50</w:t>
      </w:r>
      <w:r>
        <w:rPr>
          <w:rFonts w:ascii="仿宋_GB2312" w:eastAsia="仿宋_GB2312" w:hAnsi="Arial" w:cs="Arial" w:hint="eastAsia"/>
          <w:color w:val="000000"/>
          <w:kern w:val="0"/>
          <w:sz w:val="28"/>
          <w:szCs w:val="28"/>
        </w:rPr>
        <w:lastRenderedPageBreak/>
        <w:t>指数型证券投资基金、华安新乐享灵活配置混合型证券投资基金、华安安益灵活配置混合型证券投资基金、华安安康灵活配置混合型证券投资基金、华安安华灵活配置混合型证券投资基金、华安沪港深外延增长灵活配置混合型证券投资基金、华安全球美元收益债券型证券投资基金、华安全球美元票息债券型证券投资基金、华安安进灵活配置混合型发起式证券投资基金、华安创业板50交易型开放式指数证券投资基金、华安智增精选灵活配置混合型证券投资基金、华安事件驱动量化策略混合型证券投资基金、华安中债1-5年国开行债券交易型开放式指数证券投资基金、华安鼎丰债券型发起式证券投资基金、华安新恒利灵活配置混合型证券投资基金、华安沪港深通精选灵活配置混合型证券投资基金、华安现金宝货币市场基金、华安创业板50交易型开放式指数证券投资基金联接基金、华安中证500指数增强型证券投资基金</w:t>
      </w:r>
      <w:r>
        <w:rPr>
          <w:rFonts w:ascii="仿宋_GB2312" w:eastAsia="仿宋_GB2312" w:hAnsi="仿宋_GB2312" w:cs="仿宋_GB2312" w:hint="eastAsia"/>
          <w:color w:val="000000"/>
          <w:kern w:val="0"/>
          <w:sz w:val="28"/>
          <w:szCs w:val="28"/>
        </w:rPr>
        <w:t>、</w:t>
      </w:r>
      <w:r>
        <w:rPr>
          <w:rFonts w:ascii="仿宋_GB2312" w:eastAsia="仿宋_GB2312" w:hAnsi="Arial" w:cs="Arial" w:hint="eastAsia"/>
          <w:color w:val="000000"/>
          <w:kern w:val="0"/>
          <w:sz w:val="28"/>
          <w:szCs w:val="28"/>
        </w:rPr>
        <w:t>华安沪港深机会灵活配置混合型证券投资基金、华安文体健康主题灵活配置混合型证券投资基金、华安大安全主题灵活配置混合型证券投资基金、华安幸福生活混合型证券投资基金、华安鼎瑞定期开放债券型发起式证券投资基金、华安红利精选混合型证券投资基金、华安研究精选混合型证券投资基金、华安安逸半年定期开放债券型发起式证券投资基金、华安安悦债券型证券投资基金、华安睿明两年定期开放灵活配置混合型证券投资基金、华安CES港股通精选100交易型开放式指数证券投资基金、华安CES港股通精选100交易型开放式指数证券投资基金联接基金、华安安浦债券型证券投资基金、华安中证500行业中性低波动交易型开放式指数证券投资基金、华安鼎益债券型证券投资基金、华安制造先锋混合型证券投资基金、华安产业趋势混合型证券投资基金、华安安盛3个月定期开放债券型发起式证券投资基金</w:t>
      </w:r>
      <w:r>
        <w:rPr>
          <w:rFonts w:ascii="仿宋_GB2312" w:eastAsia="仿宋_GB2312" w:hAnsi="仿宋_GB2312" w:cs="仿宋_GB2312" w:hint="eastAsia"/>
          <w:color w:val="000000"/>
          <w:kern w:val="0"/>
          <w:sz w:val="28"/>
          <w:szCs w:val="28"/>
        </w:rPr>
        <w:t>、</w:t>
      </w:r>
      <w:r>
        <w:rPr>
          <w:rFonts w:ascii="仿宋_GB2312" w:eastAsia="仿宋_GB2312" w:hAnsi="Arial" w:cs="Arial" w:hint="eastAsia"/>
          <w:color w:val="000000"/>
          <w:kern w:val="0"/>
          <w:sz w:val="28"/>
          <w:szCs w:val="28"/>
        </w:rPr>
        <w:t>华安双核驱动混合型证券投资基金</w:t>
      </w:r>
      <w:r>
        <w:rPr>
          <w:rFonts w:ascii="仿宋_GB2312" w:eastAsia="仿宋_GB2312" w:hAnsi="仿宋_GB2312" w:cs="仿宋_GB2312" w:hint="eastAsia"/>
          <w:color w:val="000000"/>
          <w:kern w:val="0"/>
          <w:sz w:val="28"/>
          <w:szCs w:val="28"/>
        </w:rPr>
        <w:t>、</w:t>
      </w:r>
      <w:r>
        <w:rPr>
          <w:rFonts w:ascii="仿宋_GB2312" w:eastAsia="仿宋_GB2312" w:hAnsi="Arial" w:cs="Arial" w:hint="eastAsia"/>
          <w:color w:val="000000"/>
          <w:kern w:val="0"/>
          <w:sz w:val="28"/>
          <w:szCs w:val="28"/>
        </w:rPr>
        <w:t>华安低碳生活混合型证券投资基金</w:t>
      </w:r>
      <w:r>
        <w:rPr>
          <w:rFonts w:ascii="仿宋_GB2312" w:eastAsia="仿宋_GB2312" w:hAnsi="仿宋_GB2312" w:cs="仿宋_GB2312" w:hint="eastAsia"/>
          <w:color w:val="000000"/>
          <w:kern w:val="0"/>
          <w:sz w:val="28"/>
          <w:szCs w:val="28"/>
        </w:rPr>
        <w:t>、</w:t>
      </w:r>
      <w:r>
        <w:rPr>
          <w:rFonts w:ascii="仿宋_GB2312" w:eastAsia="仿宋_GB2312" w:hAnsi="Arial" w:cs="Arial" w:hint="eastAsia"/>
          <w:color w:val="000000"/>
          <w:kern w:val="0"/>
          <w:sz w:val="28"/>
          <w:szCs w:val="28"/>
        </w:rPr>
        <w:t>华安沪港深优选混合型证券投资基金</w:t>
      </w:r>
      <w:r>
        <w:rPr>
          <w:rFonts w:ascii="仿宋_GB2312" w:eastAsia="仿宋_GB2312" w:hAnsi="仿宋_GB2312" w:cs="仿宋_GB2312" w:hint="eastAsia"/>
          <w:color w:val="000000"/>
          <w:kern w:val="0"/>
          <w:sz w:val="28"/>
          <w:szCs w:val="28"/>
        </w:rPr>
        <w:t>、</w:t>
      </w:r>
      <w:r>
        <w:rPr>
          <w:rFonts w:ascii="仿宋_GB2312" w:eastAsia="仿宋_GB2312" w:hAnsi="Arial" w:cs="Arial" w:hint="eastAsia"/>
          <w:color w:val="000000"/>
          <w:kern w:val="0"/>
          <w:sz w:val="28"/>
          <w:szCs w:val="28"/>
        </w:rPr>
        <w:t>华安养老目标日期2030三年持有期混合型发起式基金中基金（FOF）</w:t>
      </w:r>
      <w:r>
        <w:rPr>
          <w:rFonts w:ascii="仿宋_GB2312" w:eastAsia="仿宋_GB2312" w:hAnsi="仿宋_GB2312" w:cs="仿宋_GB2312" w:hint="eastAsia"/>
          <w:color w:val="000000"/>
          <w:kern w:val="0"/>
          <w:sz w:val="28"/>
          <w:szCs w:val="28"/>
        </w:rPr>
        <w:t>、</w:t>
      </w:r>
      <w:r>
        <w:rPr>
          <w:rFonts w:ascii="仿宋_GB2312" w:eastAsia="仿宋_GB2312" w:hAnsi="Arial" w:cs="Arial" w:hint="eastAsia"/>
          <w:color w:val="000000"/>
          <w:kern w:val="0"/>
          <w:sz w:val="28"/>
          <w:szCs w:val="28"/>
        </w:rPr>
        <w:t>华安智能生活混合型证券投资基金</w:t>
      </w:r>
      <w:r>
        <w:rPr>
          <w:rFonts w:ascii="仿宋_GB2312" w:eastAsia="仿宋_GB2312" w:hAnsi="仿宋_GB2312" w:cs="仿宋_GB2312" w:hint="eastAsia"/>
          <w:color w:val="000000"/>
          <w:kern w:val="0"/>
          <w:sz w:val="28"/>
          <w:szCs w:val="28"/>
        </w:rPr>
        <w:t>、</w:t>
      </w:r>
      <w:r>
        <w:rPr>
          <w:rFonts w:ascii="仿宋_GB2312" w:eastAsia="仿宋_GB2312" w:hAnsi="Arial" w:cs="Arial" w:hint="eastAsia"/>
          <w:color w:val="000000"/>
          <w:kern w:val="0"/>
          <w:sz w:val="28"/>
          <w:szCs w:val="28"/>
        </w:rPr>
        <w:t>华安中债1-3年政策性金融债指数证券投资基金</w:t>
      </w:r>
      <w:r>
        <w:rPr>
          <w:rFonts w:ascii="仿宋_GB2312" w:eastAsia="仿宋_GB2312" w:hAnsi="仿宋_GB2312" w:cs="仿宋_GB2312" w:hint="eastAsia"/>
          <w:color w:val="000000"/>
          <w:kern w:val="0"/>
          <w:sz w:val="28"/>
          <w:szCs w:val="28"/>
        </w:rPr>
        <w:t>、</w:t>
      </w:r>
      <w:r>
        <w:rPr>
          <w:rFonts w:ascii="仿宋_GB2312" w:eastAsia="仿宋_GB2312" w:hAnsi="Arial" w:cs="Arial" w:hint="eastAsia"/>
          <w:color w:val="000000"/>
          <w:kern w:val="0"/>
          <w:sz w:val="28"/>
          <w:szCs w:val="28"/>
        </w:rPr>
        <w:t>华安鼎信3个月定期开放债券型发起式证券投资基金</w:t>
      </w:r>
      <w:r>
        <w:rPr>
          <w:rFonts w:ascii="仿宋_GB2312" w:eastAsia="仿宋_GB2312" w:hAnsi="仿宋_GB2312" w:cs="仿宋_GB2312" w:hint="eastAsia"/>
          <w:color w:val="000000"/>
          <w:kern w:val="0"/>
          <w:sz w:val="28"/>
          <w:szCs w:val="28"/>
        </w:rPr>
        <w:t>、</w:t>
      </w:r>
      <w:r>
        <w:rPr>
          <w:rFonts w:ascii="仿宋_GB2312" w:eastAsia="仿宋_GB2312" w:hAnsi="Arial" w:cs="Arial" w:hint="eastAsia"/>
          <w:color w:val="000000"/>
          <w:kern w:val="0"/>
          <w:sz w:val="28"/>
          <w:szCs w:val="28"/>
        </w:rPr>
        <w:t>华安三菱日联日经225交易型开放式指数证券投资基金（QDII）</w:t>
      </w:r>
      <w:r>
        <w:rPr>
          <w:rFonts w:ascii="仿宋_GB2312" w:eastAsia="仿宋_GB2312" w:hAnsi="仿宋_GB2312" w:cs="仿宋_GB2312" w:hint="eastAsia"/>
          <w:color w:val="000000"/>
          <w:kern w:val="0"/>
          <w:sz w:val="28"/>
          <w:szCs w:val="28"/>
        </w:rPr>
        <w:t>、</w:t>
      </w:r>
      <w:r>
        <w:rPr>
          <w:rFonts w:ascii="仿宋_GB2312" w:eastAsia="仿宋_GB2312" w:hAnsi="Arial" w:cs="Arial" w:hint="eastAsia"/>
          <w:color w:val="000000"/>
          <w:kern w:val="0"/>
          <w:sz w:val="28"/>
          <w:szCs w:val="28"/>
        </w:rPr>
        <w:t>华安智联混合型证券投资基金（LOF）、华安成长创新混合型证券投资基金、华安安平6个月定期开放债券型发起式证券投资基金、华安安业债券型证券投资基金、华安现金润利浮动净值型发起式货币市场基金、华安安嘉6个月定期开放债券型发起式证券投资基金、华安中债7-10年国开行债券指数证券投资基金、华安安和债券型证券投资基金、华安鑫福42个月定期开放债券型证券投资基金、华安稳健养老目标一年持有期混合型发起式基金中基金（FOF）、华安沪深300交易型开放式指数证券投资基金、华安汇智精选两年持有期混合型证券投资基金、华安鑫浦87个月定期开放债券型证券投资基金、华安优质生活混合型证券投资基金、华安安腾一年定期开放债券型发起式证券投资基金、华安科技创新混合型证券投资基金、华安医疗创新混合型证券投资基金、华安现代生活混合型证券投资基金、华安安敦债券型证券投资基金、华安法国CAC40交易型开放式指数证券投资基金（QDII）、华安添瑞6个月持有期混合型证券投资基金、华安聚优精选混合型证券投资基金、华安沪深300交易型开放式指数证券投资基金发起式联接基金、华安中债1-5年国开行债券交易型开放式指数证券投资基金联接基金、华安创业板两年定期开放混合型证券投资基金、华安汇嘉精选混合型证券投资基金、华安产业优选混合型证券投资基金、华安中证电子50交易型开放式指数证券投资基金、华安平衡养老目标三年持有期混合型发起式基金中基金（FOF）、华安锦源0-7年金融债3个月定期开放债券型发起式证券投资基金、华安新兴消费混合型证券投资基金、华安优势企业混合型证券投资基金、华安中证新能源汽车交易型开放式指数证券投资基金、华安添利6个月持有期债券型证券投资基金、华安精致生活混合型证券投资基金、华安添益一年持有期混合型证券投资基金、华安成长先锋混合型证券投资基金、华安锦溶0-5年金融债3个月定期开放债券型发起式证券投资基金、华安聚恒精选混合型证券投资基金、华安聚嘉精选混合型证券投资基金、华安中证全指证券公司交易型开放式指数证券投资基金、华安汇宏精选混合型证券投资基金、华安中证申万食品饮料交易型开放式指数证券投资基金、华安众鑫90天滚动持有短债债券型发起式证券投资基金、华安养老目标日期2040三年持有期混合型发起式基金中基金(FOF) 、华安恒生科技交易型开放式指数证券投资基金（QDII）、华安添禧一年持有期混合型证券投资基金、华安张江产业园封闭式基础设施证券投资基金、华安兴安优选一年持有期混合型证券投资基金、华安中证沪港深科技100交易型开放式指数证券投资基金、华安锦灏金融债3个月定期开放债券型发起式证券投资基金、华安中证内地新能源主题交易型开放式指数证券投资基金、华安添和一年持有期债券型证券投资基金三、华安添祥6个月持有期混合型证券投资基金、华安研究智选混合型证券投资基金、华安聚弘精选混合型证券投资基金、华安CES半导体芯片行业指数型发起式证券投资基金、华安宁享6个月持有期混合型证券投资基金、华安中证银行交易型开放式指数证券投资基金、华安慧萃组合精选3个月持有期混合型基金中基金（FOF）、华安研究驱动混合型证券投资基金、华安中证新能源汽车交易型开放式指数证券投资基金发起式联接基金、华安添荣中短债债券型证券投资基金、华安均衡优选混合型证券投资基金、华安上证科创板50成份交易型开放式指数证券投资基金、华安众悦60天滚动持有短债债券型证券投资基金、华安民享稳健养老目标一年持有期混合型发起式基金中基金(FOF) 、华安优势龙头混合型证券投资基金、华安众享180天持有期中短债债券型证券投资基金、华安研究领航混合型证券投资基金、华安优享稳健养老目标一年持有期混合型发起式基金中基金（FOF）、华安深证100交易型开放式指数证券投资基金、华安顺穗债券型证券投资基金、华安制造升级一年持有期混合型证券投资基金、华安产业动力6个月持有期混合型证券投资基金、华安产业精选混合型证券投资基金、华安沣瑞一年持有期混合型证券投资基金、华安优势精选混合型证券投资基金、华安价值驱动一年持有期混合型证券投资基金、华安景气驱动一年持有期混合型证券投资基金、华安品质领先混合型证券投资基金、华安乾煜债券型发起式证券投资基金、华安中证光伏产业交易型开放式指数证券投资基金、华安领荣一年定期开放债券型发起式证券投资基金、华安恒生科技交易型开放式指数证券投资基金发起式联接基金（QDII）、华安上证科创板新一代信息技术交易型开放式指数证券投资基金、华安景气优选混合型证券投资基金、华安鼎安优选一年持有期混合型证券投资基金、华安添锦债券型证券投资基金、华安中证同业存单AAA指数7天持有期发起式证券投资基金、华安中证1000指数增强型证券投资基金、华安品质甄选混合型证券投资基金、华安添顺债券型证券投资基金、华安添信债券型证券投资基金、华安沣悦债券型证券投资基金、华安优嘉精选混合型证券投资基金、华安中证数字经济主题交易型开放式指数证券投资基金、华安积极养老目标五年持有期混合型发起式基金中基金（FOF）、华安上证科创板芯片交易型开放式指数证券投资基金、华安中证上海环交所碳中和指数型发起式证券投资基金、华安添魁债券型证券投资基金五、华安动力领航混合型证券投资基金、华安沣裕债券型证券投资基金、华安中证基建指数型发起式证券投资基金、华安养老目标日期2045五年持有期混合型发起式基金中基金（FOF）、华安众盈中短债债券型发起式证券投资基金、华安鼎津一年定期开放债券型发起式证券投资基金、华安沪深300增强策略交易型开放式指数证券投资基金、华安上证科创板芯片交易型开放式指数证券投资基金发起式联接基金、华安养老目标日期2050五年持有期混合型发起式基金中基金(FOF)、华安养老目标日期2035三年持有期混合型发起式基金中基金（FOF）、华安恒生互联网科技业交易型开放式指数证券投资基金（QDII）、华安碳中和主题混合型证券投资基金、华安慧心楚选配置三年持有期混合型基金中基金（FOF）、华安鼎盈一年定期开放债券型发起式证券投资基金、华安匠心甄选混合型证券投资基金、华安盈安稳健优选3个月持有期债券型基金中基金（FOF）、华安招裕一年持有期混合型证券投资基金、华安中证数字经济主题交易型开放式指数证券投资基金发起式联接基金、华安锐进积极配置一年持有期混合型基金中基金（FOF）、华安景气领航混合型证券投资基金、华安盈瑞稳健优选6个月持有期混合型基金中基金（FOF）、华安国证生物医药交易型开放式指数证券投资基金、华安添勤债券型证券投资基金、华安沣信债券型证券投资基金、华安中证国有企业红利交易型开放式指数证券投资基金、华安沣润债券型证券投资基金、华安新材料主题股票型发起式证券投资基金、华安中证全指软件开发交易型开放式指数证券投资基金、华安远见慧选混合型发起式证券投资基金、华安月月鑫30天持有期债券型发起式证券投资基金、华安中债0-3年政策性金融债指数证券投资基金、华安恒生港股通中国央企红利交易型开放式指数证券投资基金、华安睿信优选混合型证券投资基金、华安健康主题混合型证券投资基金、华安国企机遇混合型证券投资基金、华安中证国有企业红利交易型开放式指数证券投资基金发起式联接基金、华安恒生互联网科技业交易型开放式指数证券投资基金发起式联接基金（QDII）、华安三菱日联日经225交易型开放式指数证券投资基金发起式联接基金（QDII）、华安季季鑫90天持有期债券型证券投资基金、华安上证科创板50成份交易型开放式指数证券投资基金发起式联接基金、华安中证全指软件开发交易型开放式指数证券投资基金发起式联接基金、华安国证机器人产业指数型发起式证券投资基金、华安恒生港股通中国央企红利交易型开放式指数证券投资基金发起式联接基金、华安中证沪深港黄金产业股票交易型开放式指数证券投资基金、华安上证科创板新一代信息技术交易型开放式指数证券投资基金发起式联接基金、华安法国CAC40交易型开放式指数证券投资基金发起式联接基金（QDII）、华安鸿福利率债债券型证券投资基金、华安百联消费封闭式基础设施证券投资基金、华安月月丰30天持有期债券型证券投资基金、华安深证100交易型开放式指数证券投资基金发起式联接基金、华安中证红利低波动指数型发起式证券投资基金、华安红利机遇股票型发起式证券投资基金、华安北证50成份指数型发起式证券投资基金、华安景气回报混合型发起式证券投资基金、华安中证有色金属矿业主题指数型发起式证券投资基金、华安中证信息技术应用创新产业指数型发起式证券投资基金</w:t>
      </w:r>
      <w:r w:rsidR="00D16B36">
        <w:rPr>
          <w:rFonts w:ascii="仿宋_GB2312" w:eastAsia="仿宋_GB2312" w:hAnsi="Arial" w:cs="Arial" w:hint="eastAsia"/>
          <w:color w:val="000000"/>
          <w:kern w:val="0"/>
          <w:sz w:val="28"/>
          <w:szCs w:val="28"/>
        </w:rPr>
        <w:t>、</w:t>
      </w:r>
      <w:r w:rsidR="00D16B36" w:rsidRPr="00D16B36">
        <w:rPr>
          <w:rFonts w:ascii="仿宋_GB2312" w:eastAsia="仿宋_GB2312" w:hAnsi="Arial" w:cs="Arial" w:hint="eastAsia"/>
          <w:color w:val="000000"/>
          <w:kern w:val="0"/>
          <w:sz w:val="28"/>
          <w:szCs w:val="28"/>
        </w:rPr>
        <w:t>华安中证全指医疗器械指数型发起式证券投资基金、华安中证A500交易型开放式指数证券投资基金、华安中证A500交易型开放式指数证券投资基金发起式联接基金、华安恒生生物科技指数型发起式证券投资基金（QDII）、华安中证云计算与大数据主题指数型发起式证券投资基金、华安外高桥仓储物流封闭式基础设施证券投资基金、华安医药生物股票型发起式证券投资基金、华安先进制造混合型发起式证券投资基金</w:t>
      </w:r>
      <w:r w:rsidR="00F3362C">
        <w:rPr>
          <w:rFonts w:ascii="仿宋_GB2312" w:eastAsia="仿宋_GB2312" w:hAnsi="Arial" w:cs="Arial" w:hint="eastAsia"/>
          <w:color w:val="000000"/>
          <w:kern w:val="0"/>
          <w:sz w:val="28"/>
          <w:szCs w:val="28"/>
        </w:rPr>
        <w:t>、</w:t>
      </w:r>
      <w:r w:rsidR="00F3362C" w:rsidRPr="00F3362C">
        <w:rPr>
          <w:rFonts w:ascii="仿宋_GB2312" w:eastAsia="仿宋_GB2312" w:hAnsi="Arial" w:cs="Arial" w:hint="eastAsia"/>
          <w:color w:val="000000"/>
          <w:kern w:val="0"/>
          <w:sz w:val="28"/>
          <w:szCs w:val="28"/>
        </w:rPr>
        <w:t>华安众利120天持有期债券型证券投资基金</w:t>
      </w:r>
      <w:r w:rsidR="00F3362C">
        <w:rPr>
          <w:rFonts w:ascii="仿宋_GB2312" w:eastAsia="仿宋_GB2312" w:hAnsi="Arial" w:cs="Arial" w:hint="eastAsia"/>
          <w:color w:val="000000"/>
          <w:kern w:val="0"/>
          <w:sz w:val="28"/>
          <w:szCs w:val="28"/>
        </w:rPr>
        <w:t>、</w:t>
      </w:r>
      <w:r w:rsidR="00F3362C" w:rsidRPr="00F3362C">
        <w:rPr>
          <w:rFonts w:ascii="仿宋_GB2312" w:eastAsia="仿宋_GB2312" w:hAnsi="Arial" w:cs="Arial" w:hint="eastAsia"/>
          <w:color w:val="000000"/>
          <w:kern w:val="0"/>
          <w:sz w:val="28"/>
          <w:szCs w:val="28"/>
        </w:rPr>
        <w:t>华安半导体产业股票型发起式证券投资基金</w:t>
      </w:r>
      <w:r w:rsidR="00F3362C">
        <w:rPr>
          <w:rFonts w:ascii="仿宋_GB2312" w:eastAsia="仿宋_GB2312" w:hAnsi="Arial" w:cs="Arial" w:hint="eastAsia"/>
          <w:color w:val="000000"/>
          <w:kern w:val="0"/>
          <w:sz w:val="28"/>
          <w:szCs w:val="28"/>
        </w:rPr>
        <w:t>、</w:t>
      </w:r>
      <w:r w:rsidR="00F3362C" w:rsidRPr="00F3362C">
        <w:rPr>
          <w:rFonts w:ascii="仿宋_GB2312" w:eastAsia="仿宋_GB2312" w:hAnsi="Arial" w:cs="Arial" w:hint="eastAsia"/>
          <w:color w:val="000000"/>
          <w:kern w:val="0"/>
          <w:sz w:val="28"/>
          <w:szCs w:val="28"/>
        </w:rPr>
        <w:t>华安安恒回报债券型发起式证券投资基金</w:t>
      </w:r>
      <w:r w:rsidR="00F3362C">
        <w:rPr>
          <w:rFonts w:ascii="仿宋_GB2312" w:eastAsia="仿宋_GB2312" w:hAnsi="Arial" w:cs="Arial" w:hint="eastAsia"/>
          <w:color w:val="000000"/>
          <w:kern w:val="0"/>
          <w:sz w:val="28"/>
          <w:szCs w:val="28"/>
        </w:rPr>
        <w:t>、</w:t>
      </w:r>
      <w:r w:rsidR="00F3362C" w:rsidRPr="00F3362C">
        <w:rPr>
          <w:rFonts w:ascii="仿宋_GB2312" w:eastAsia="仿宋_GB2312" w:hAnsi="Arial" w:cs="Arial" w:hint="eastAsia"/>
          <w:color w:val="000000"/>
          <w:kern w:val="0"/>
          <w:sz w:val="28"/>
          <w:szCs w:val="28"/>
        </w:rPr>
        <w:t>华安中证全指计算机指数型发起式证券投资基金</w:t>
      </w:r>
      <w:r w:rsidR="00F3362C">
        <w:rPr>
          <w:rFonts w:ascii="仿宋_GB2312" w:eastAsia="仿宋_GB2312" w:hAnsi="Arial" w:cs="Arial" w:hint="eastAsia"/>
          <w:color w:val="000000"/>
          <w:kern w:val="0"/>
          <w:sz w:val="28"/>
          <w:szCs w:val="28"/>
        </w:rPr>
        <w:t>、</w:t>
      </w:r>
      <w:r w:rsidR="00F3362C" w:rsidRPr="00F3362C">
        <w:rPr>
          <w:rFonts w:ascii="仿宋_GB2312" w:eastAsia="仿宋_GB2312" w:hAnsi="Arial" w:cs="Arial" w:hint="eastAsia"/>
          <w:color w:val="000000"/>
          <w:kern w:val="0"/>
          <w:sz w:val="28"/>
          <w:szCs w:val="28"/>
        </w:rPr>
        <w:t>华安中证全指自由现金流交易型开放式指数证券投资基金</w:t>
      </w:r>
      <w:r w:rsidR="00F3362C">
        <w:rPr>
          <w:rFonts w:ascii="仿宋_GB2312" w:eastAsia="仿宋_GB2312" w:hAnsi="Arial" w:cs="Arial" w:hint="eastAsia"/>
          <w:color w:val="000000"/>
          <w:kern w:val="0"/>
          <w:sz w:val="28"/>
          <w:szCs w:val="28"/>
        </w:rPr>
        <w:t>、</w:t>
      </w:r>
      <w:r w:rsidR="00F3362C" w:rsidRPr="00F3362C">
        <w:rPr>
          <w:rFonts w:ascii="仿宋_GB2312" w:eastAsia="仿宋_GB2312" w:hAnsi="Arial" w:cs="Arial" w:hint="eastAsia"/>
          <w:color w:val="000000"/>
          <w:kern w:val="0"/>
          <w:sz w:val="28"/>
          <w:szCs w:val="28"/>
        </w:rPr>
        <w:t>华安中证A500指数增强型发起式证券投资基金</w:t>
      </w:r>
      <w:r>
        <w:rPr>
          <w:rFonts w:ascii="仿宋_GB2312" w:eastAsia="仿宋_GB2312" w:hAnsi="Arial" w:cs="Arial" w:hint="eastAsia"/>
          <w:color w:val="000000"/>
          <w:kern w:val="0"/>
          <w:sz w:val="28"/>
          <w:szCs w:val="28"/>
        </w:rPr>
        <w:t>的</w:t>
      </w:r>
      <w:r>
        <w:rPr>
          <w:rFonts w:ascii="仿宋_GB2312" w:eastAsia="仿宋_GB2312" w:hAnsi="Arial" w:cs="Arial"/>
          <w:color w:val="000000"/>
          <w:kern w:val="0"/>
          <w:sz w:val="28"/>
          <w:szCs w:val="28"/>
        </w:rPr>
        <w:t>202</w:t>
      </w:r>
      <w:r w:rsidR="00F024F5">
        <w:rPr>
          <w:rFonts w:ascii="仿宋_GB2312" w:eastAsia="仿宋_GB2312" w:hAnsi="Arial" w:cs="Arial"/>
          <w:color w:val="000000"/>
          <w:kern w:val="0"/>
          <w:sz w:val="28"/>
          <w:szCs w:val="28"/>
        </w:rPr>
        <w:t>5</w:t>
      </w:r>
      <w:r>
        <w:rPr>
          <w:rFonts w:ascii="仿宋_GB2312" w:eastAsia="仿宋_GB2312" w:hAnsi="Arial" w:cs="Arial" w:hint="eastAsia"/>
          <w:color w:val="000000"/>
          <w:kern w:val="0"/>
          <w:sz w:val="28"/>
          <w:szCs w:val="28"/>
        </w:rPr>
        <w:t>年第</w:t>
      </w:r>
      <w:r w:rsidR="007F2F9C">
        <w:rPr>
          <w:rFonts w:ascii="仿宋_GB2312" w:eastAsia="仿宋_GB2312" w:hAnsi="Arial" w:cs="Arial"/>
          <w:color w:val="000000"/>
          <w:kern w:val="0"/>
          <w:sz w:val="28"/>
          <w:szCs w:val="28"/>
        </w:rPr>
        <w:t>2</w:t>
      </w:r>
      <w:r>
        <w:rPr>
          <w:rFonts w:ascii="仿宋_GB2312" w:eastAsia="仿宋_GB2312" w:hAnsi="Arial" w:cs="Arial" w:hint="eastAsia"/>
          <w:color w:val="000000"/>
          <w:kern w:val="0"/>
          <w:sz w:val="28"/>
          <w:szCs w:val="28"/>
        </w:rPr>
        <w:t>季度报告</w:t>
      </w:r>
      <w:r>
        <w:rPr>
          <w:rFonts w:ascii="仿宋_GB2312" w:eastAsia="仿宋_GB2312" w:hAnsi="Arial" w:cs="Arial"/>
          <w:color w:val="000000"/>
          <w:kern w:val="0"/>
          <w:sz w:val="28"/>
          <w:szCs w:val="28"/>
        </w:rPr>
        <w:t>全文</w:t>
      </w:r>
      <w:r>
        <w:rPr>
          <w:rFonts w:ascii="仿宋_GB2312" w:eastAsia="仿宋_GB2312" w:hAnsi="Arial" w:cs="Arial" w:hint="eastAsia"/>
          <w:color w:val="000000"/>
          <w:kern w:val="0"/>
          <w:sz w:val="28"/>
          <w:szCs w:val="28"/>
        </w:rPr>
        <w:t>于</w:t>
      </w:r>
      <w:r>
        <w:rPr>
          <w:rFonts w:ascii="仿宋_GB2312" w:eastAsia="仿宋_GB2312" w:hAnsi="Arial" w:cs="Arial"/>
          <w:color w:val="000000"/>
          <w:kern w:val="0"/>
          <w:sz w:val="28"/>
          <w:szCs w:val="28"/>
        </w:rPr>
        <w:t>2025</w:t>
      </w:r>
      <w:r>
        <w:rPr>
          <w:rFonts w:ascii="仿宋_GB2312" w:eastAsia="仿宋_GB2312" w:hAnsi="Arial" w:cs="Arial" w:hint="eastAsia"/>
          <w:color w:val="000000"/>
          <w:kern w:val="0"/>
          <w:sz w:val="28"/>
          <w:szCs w:val="28"/>
        </w:rPr>
        <w:t>年</w:t>
      </w:r>
      <w:r w:rsidR="007F2F9C">
        <w:rPr>
          <w:rFonts w:ascii="仿宋_GB2312" w:eastAsia="仿宋_GB2312" w:hAnsi="Arial" w:cs="Arial"/>
          <w:color w:val="000000"/>
          <w:kern w:val="0"/>
          <w:sz w:val="28"/>
          <w:szCs w:val="28"/>
        </w:rPr>
        <w:t>7</w:t>
      </w:r>
      <w:r>
        <w:rPr>
          <w:rFonts w:ascii="仿宋_GB2312" w:eastAsia="仿宋_GB2312" w:hAnsi="Arial" w:cs="Arial" w:hint="eastAsia"/>
          <w:color w:val="000000"/>
          <w:kern w:val="0"/>
          <w:sz w:val="28"/>
          <w:szCs w:val="28"/>
        </w:rPr>
        <w:t>月</w:t>
      </w:r>
      <w:r>
        <w:rPr>
          <w:rFonts w:ascii="仿宋_GB2312" w:eastAsia="仿宋_GB2312" w:hAnsi="Arial" w:cs="Arial"/>
          <w:color w:val="000000"/>
          <w:kern w:val="0"/>
          <w:sz w:val="28"/>
          <w:szCs w:val="28"/>
        </w:rPr>
        <w:t>2</w:t>
      </w:r>
      <w:r w:rsidR="007F2F9C">
        <w:rPr>
          <w:rFonts w:ascii="仿宋_GB2312" w:eastAsia="仿宋_GB2312" w:hAnsi="Arial" w:cs="Arial"/>
          <w:color w:val="000000"/>
          <w:kern w:val="0"/>
          <w:sz w:val="28"/>
          <w:szCs w:val="28"/>
        </w:rPr>
        <w:t>1</w:t>
      </w:r>
      <w:r>
        <w:rPr>
          <w:rFonts w:ascii="仿宋_GB2312" w:eastAsia="仿宋_GB2312" w:hAnsi="Arial" w:cs="Arial" w:hint="eastAsia"/>
          <w:color w:val="000000"/>
          <w:kern w:val="0"/>
          <w:sz w:val="28"/>
          <w:szCs w:val="28"/>
        </w:rPr>
        <w:t>日在</w:t>
      </w:r>
      <w:r>
        <w:rPr>
          <w:rFonts w:ascii="仿宋_GB2312" w:eastAsia="仿宋_GB2312" w:hAnsi="Arial" w:cs="Arial"/>
          <w:color w:val="000000"/>
          <w:kern w:val="0"/>
          <w:sz w:val="28"/>
          <w:szCs w:val="28"/>
        </w:rPr>
        <w:t>本公司网站[www.huaan.com.cn]和中国证监会</w:t>
      </w:r>
      <w:r>
        <w:rPr>
          <w:rFonts w:ascii="仿宋_GB2312" w:eastAsia="仿宋_GB2312" w:hAnsi="Arial" w:cs="Arial" w:hint="eastAsia"/>
          <w:color w:val="000000"/>
          <w:kern w:val="0"/>
          <w:sz w:val="28"/>
          <w:szCs w:val="28"/>
        </w:rPr>
        <w:t>基金</w:t>
      </w:r>
      <w:r>
        <w:rPr>
          <w:rFonts w:ascii="仿宋_GB2312" w:eastAsia="仿宋_GB2312" w:hAnsi="Arial" w:cs="Arial"/>
          <w:color w:val="000000"/>
          <w:kern w:val="0"/>
          <w:sz w:val="28"/>
          <w:szCs w:val="28"/>
        </w:rPr>
        <w:t>电子披露网站</w:t>
      </w:r>
      <w:r>
        <w:rPr>
          <w:rFonts w:ascii="仿宋_GB2312" w:eastAsia="仿宋_GB2312" w:hAnsi="Arial" w:cs="Arial" w:hint="eastAsia"/>
          <w:color w:val="000000"/>
          <w:kern w:val="0"/>
          <w:sz w:val="28"/>
          <w:szCs w:val="28"/>
        </w:rPr>
        <w:t>（</w:t>
      </w:r>
      <w:r>
        <w:rPr>
          <w:rFonts w:ascii="仿宋_GB2312" w:eastAsia="仿宋_GB2312" w:hAnsi="Arial" w:cs="Arial"/>
          <w:color w:val="000000"/>
          <w:kern w:val="0"/>
          <w:sz w:val="28"/>
          <w:szCs w:val="28"/>
        </w:rPr>
        <w:t>http://eid.csrc.gov.cn/fund</w:t>
      </w:r>
      <w:r>
        <w:rPr>
          <w:rFonts w:ascii="仿宋_GB2312" w:eastAsia="仿宋_GB2312" w:hAnsi="Arial" w:cs="Arial" w:hint="eastAsia"/>
          <w:color w:val="000000"/>
          <w:kern w:val="0"/>
          <w:sz w:val="28"/>
          <w:szCs w:val="28"/>
        </w:rPr>
        <w:t>）</w:t>
      </w:r>
      <w:r>
        <w:rPr>
          <w:rFonts w:ascii="仿宋_GB2312" w:eastAsia="仿宋_GB2312" w:hAnsi="Arial" w:cs="Arial"/>
          <w:color w:val="000000"/>
          <w:kern w:val="0"/>
          <w:sz w:val="28"/>
          <w:szCs w:val="28"/>
        </w:rPr>
        <w:t>披露，供投资者查阅。</w:t>
      </w:r>
      <w:r>
        <w:rPr>
          <w:rFonts w:ascii="仿宋_GB2312" w:eastAsia="仿宋_GB2312" w:hAnsi="Arial" w:cs="Arial" w:hint="eastAsia"/>
          <w:color w:val="000000"/>
          <w:kern w:val="0"/>
          <w:sz w:val="28"/>
          <w:szCs w:val="28"/>
        </w:rPr>
        <w:t>如有疑问可拨打本公司客服电话（</w:t>
      </w:r>
      <w:r>
        <w:rPr>
          <w:rFonts w:ascii="仿宋_GB2312" w:eastAsia="仿宋_GB2312" w:hAnsi="Arial" w:cs="Arial"/>
          <w:color w:val="000000"/>
          <w:kern w:val="0"/>
          <w:sz w:val="28"/>
          <w:szCs w:val="28"/>
        </w:rPr>
        <w:t>40088-50099</w:t>
      </w:r>
      <w:r>
        <w:rPr>
          <w:rFonts w:ascii="仿宋_GB2312" w:eastAsia="仿宋_GB2312" w:hAnsi="Arial" w:cs="Arial" w:hint="eastAsia"/>
          <w:color w:val="000000"/>
          <w:kern w:val="0"/>
          <w:sz w:val="28"/>
          <w:szCs w:val="28"/>
        </w:rPr>
        <w:t>）咨询</w:t>
      </w:r>
      <w:r>
        <w:rPr>
          <w:rFonts w:ascii="仿宋_GB2312" w:eastAsia="仿宋_GB2312" w:hAnsi="Arial" w:cs="Arial"/>
          <w:color w:val="000000"/>
          <w:kern w:val="0"/>
          <w:sz w:val="28"/>
          <w:szCs w:val="28"/>
        </w:rPr>
        <w:t>。</w:t>
      </w:r>
    </w:p>
    <w:p w:rsidR="00235706" w:rsidRDefault="00004F3E">
      <w:pPr>
        <w:spacing w:line="560" w:lineRule="exact"/>
        <w:ind w:firstLineChars="200" w:firstLine="560"/>
        <w:jc w:val="left"/>
        <w:rPr>
          <w:rFonts w:ascii="仿宋_GB2312" w:eastAsia="仿宋_GB2312" w:hAnsi="Arial" w:cs="Arial"/>
          <w:color w:val="000000"/>
          <w:kern w:val="0"/>
          <w:sz w:val="28"/>
          <w:szCs w:val="28"/>
        </w:rPr>
      </w:pPr>
      <w:r>
        <w:rPr>
          <w:rFonts w:ascii="仿宋_GB2312" w:eastAsia="仿宋_GB2312" w:hAnsi="Arial" w:cs="Arial" w:hint="eastAsia"/>
          <w:color w:val="000000"/>
          <w:kern w:val="0"/>
          <w:sz w:val="28"/>
          <w:szCs w:val="28"/>
        </w:rPr>
        <w:t>本基金管理人承诺以诚实信用、勤勉尽责的原则管理和运用基金资产，但不保证基金一定盈利，也不保证最低收益。请充分了解基金的风险收益特征，审慎做出投资决定。</w:t>
      </w:r>
    </w:p>
    <w:p w:rsidR="00235706" w:rsidRDefault="00004F3E">
      <w:pPr>
        <w:spacing w:line="560" w:lineRule="exact"/>
        <w:ind w:firstLineChars="200" w:firstLine="560"/>
        <w:jc w:val="left"/>
        <w:rPr>
          <w:rFonts w:ascii="仿宋_GB2312" w:eastAsia="仿宋_GB2312" w:hAnsi="Arial" w:cs="Arial"/>
          <w:color w:val="000000"/>
          <w:kern w:val="0"/>
          <w:sz w:val="28"/>
          <w:szCs w:val="28"/>
        </w:rPr>
      </w:pPr>
      <w:r>
        <w:rPr>
          <w:rFonts w:ascii="仿宋_GB2312" w:eastAsia="仿宋_GB2312" w:hAnsi="Arial" w:cs="Arial" w:hint="eastAsia"/>
          <w:color w:val="000000"/>
          <w:kern w:val="0"/>
          <w:sz w:val="28"/>
          <w:szCs w:val="28"/>
        </w:rPr>
        <w:t>特此公告。</w:t>
      </w:r>
    </w:p>
    <w:p w:rsidR="00235706" w:rsidRDefault="00004F3E">
      <w:pPr>
        <w:spacing w:line="560" w:lineRule="exact"/>
        <w:ind w:firstLineChars="200" w:firstLine="560"/>
        <w:jc w:val="right"/>
        <w:rPr>
          <w:rFonts w:ascii="仿宋_GB2312" w:eastAsia="仿宋_GB2312" w:hAnsi="Arial" w:cs="Arial"/>
          <w:color w:val="000000"/>
          <w:kern w:val="0"/>
          <w:sz w:val="28"/>
          <w:szCs w:val="28"/>
        </w:rPr>
      </w:pPr>
      <w:r>
        <w:rPr>
          <w:rFonts w:ascii="仿宋_GB2312" w:eastAsia="仿宋_GB2312" w:hAnsi="Arial" w:cs="Arial"/>
          <w:color w:val="000000"/>
          <w:kern w:val="0"/>
          <w:sz w:val="28"/>
          <w:szCs w:val="28"/>
        </w:rPr>
        <w:t xml:space="preserve">                             华安基金管理有限公司</w:t>
      </w:r>
    </w:p>
    <w:p w:rsidR="00235706" w:rsidRDefault="00004F3E">
      <w:pPr>
        <w:spacing w:line="560" w:lineRule="exact"/>
        <w:ind w:firstLineChars="200" w:firstLine="560"/>
        <w:jc w:val="right"/>
        <w:rPr>
          <w:rFonts w:ascii="仿宋_GB2312" w:eastAsia="仿宋_GB2312" w:hAnsi="Arial" w:cs="Arial"/>
          <w:color w:val="000000"/>
          <w:kern w:val="0"/>
          <w:sz w:val="28"/>
          <w:szCs w:val="28"/>
        </w:rPr>
      </w:pPr>
      <w:r>
        <w:rPr>
          <w:rFonts w:ascii="仿宋_GB2312" w:eastAsia="仿宋_GB2312" w:hAnsi="Arial" w:cs="Arial"/>
          <w:color w:val="000000"/>
          <w:kern w:val="0"/>
          <w:sz w:val="28"/>
          <w:szCs w:val="28"/>
        </w:rPr>
        <w:t xml:space="preserve">                                 2025</w:t>
      </w:r>
      <w:r>
        <w:rPr>
          <w:rFonts w:ascii="仿宋_GB2312" w:eastAsia="仿宋_GB2312" w:hAnsi="Arial" w:cs="Arial" w:hint="eastAsia"/>
          <w:color w:val="000000"/>
          <w:kern w:val="0"/>
          <w:sz w:val="28"/>
          <w:szCs w:val="28"/>
        </w:rPr>
        <w:t>年</w:t>
      </w:r>
      <w:r w:rsidR="007F2F9C">
        <w:rPr>
          <w:rFonts w:ascii="仿宋_GB2312" w:eastAsia="仿宋_GB2312" w:hAnsi="Arial" w:cs="Arial"/>
          <w:color w:val="000000"/>
          <w:kern w:val="0"/>
          <w:sz w:val="28"/>
          <w:szCs w:val="28"/>
        </w:rPr>
        <w:t>7</w:t>
      </w:r>
      <w:r>
        <w:rPr>
          <w:rFonts w:ascii="仿宋_GB2312" w:eastAsia="仿宋_GB2312" w:hAnsi="Arial" w:cs="Arial" w:hint="eastAsia"/>
          <w:color w:val="000000"/>
          <w:kern w:val="0"/>
          <w:sz w:val="28"/>
          <w:szCs w:val="28"/>
        </w:rPr>
        <w:t>月</w:t>
      </w:r>
      <w:r>
        <w:rPr>
          <w:rFonts w:ascii="仿宋_GB2312" w:eastAsia="仿宋_GB2312" w:hAnsi="Arial" w:cs="Arial"/>
          <w:color w:val="000000"/>
          <w:kern w:val="0"/>
          <w:sz w:val="28"/>
          <w:szCs w:val="28"/>
        </w:rPr>
        <w:t>2</w:t>
      </w:r>
      <w:r w:rsidR="007F2F9C">
        <w:rPr>
          <w:rFonts w:ascii="仿宋_GB2312" w:eastAsia="仿宋_GB2312" w:hAnsi="Arial" w:cs="Arial"/>
          <w:color w:val="000000"/>
          <w:kern w:val="0"/>
          <w:sz w:val="28"/>
          <w:szCs w:val="28"/>
        </w:rPr>
        <w:t>1</w:t>
      </w:r>
      <w:r>
        <w:rPr>
          <w:rFonts w:ascii="仿宋_GB2312" w:eastAsia="仿宋_GB2312" w:hAnsi="Arial" w:cs="Arial" w:hint="eastAsia"/>
          <w:color w:val="000000"/>
          <w:kern w:val="0"/>
          <w:sz w:val="28"/>
          <w:szCs w:val="28"/>
        </w:rPr>
        <w:t>日</w:t>
      </w:r>
    </w:p>
    <w:sectPr w:rsidR="00235706" w:rsidSect="00014406">
      <w:footerReference w:type="default" r:id="rId7"/>
      <w:footerReference w:type="first" r:id="rId8"/>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4611" w:rsidRDefault="00574611">
      <w:r>
        <w:separator/>
      </w:r>
    </w:p>
  </w:endnote>
  <w:endnote w:type="continuationSeparator" w:id="0">
    <w:p w:rsidR="00574611" w:rsidRDefault="005746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AutoText"/>
      </w:docPartObj>
    </w:sdtPr>
    <w:sdtContent>
      <w:p w:rsidR="00235706" w:rsidRDefault="00014406">
        <w:pPr>
          <w:pStyle w:val="a5"/>
          <w:jc w:val="center"/>
        </w:pPr>
        <w:r>
          <w:fldChar w:fldCharType="begin"/>
        </w:r>
        <w:r w:rsidR="00004F3E">
          <w:instrText>PAGE   \* MERGEFORMAT</w:instrText>
        </w:r>
        <w:r>
          <w:fldChar w:fldCharType="separate"/>
        </w:r>
        <w:r w:rsidR="00F96743" w:rsidRPr="00F96743">
          <w:rPr>
            <w:noProof/>
            <w:lang w:val="zh-CN"/>
          </w:rPr>
          <w:t>2</w:t>
        </w:r>
        <w:r>
          <w:fldChar w:fldCharType="end"/>
        </w:r>
      </w:p>
    </w:sdtContent>
  </w:sdt>
  <w:p w:rsidR="00235706" w:rsidRDefault="0023570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AutoText"/>
      </w:docPartObj>
    </w:sdtPr>
    <w:sdtContent>
      <w:p w:rsidR="00235706" w:rsidRDefault="00014406">
        <w:pPr>
          <w:pStyle w:val="a5"/>
          <w:jc w:val="center"/>
        </w:pPr>
        <w:r>
          <w:fldChar w:fldCharType="begin"/>
        </w:r>
        <w:r w:rsidR="00004F3E">
          <w:instrText>PAGE   \* MERGEFORMAT</w:instrText>
        </w:r>
        <w:r>
          <w:fldChar w:fldCharType="separate"/>
        </w:r>
        <w:r w:rsidR="00F96743" w:rsidRPr="00F96743">
          <w:rPr>
            <w:noProof/>
            <w:lang w:val="zh-CN"/>
          </w:rPr>
          <w:t>1</w:t>
        </w:r>
        <w:r>
          <w:fldChar w:fldCharType="end"/>
        </w:r>
      </w:p>
    </w:sdtContent>
  </w:sdt>
  <w:p w:rsidR="00235706" w:rsidRDefault="0023570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4611" w:rsidRDefault="00574611">
      <w:r>
        <w:separator/>
      </w:r>
    </w:p>
  </w:footnote>
  <w:footnote w:type="continuationSeparator" w:id="0">
    <w:p w:rsidR="00574611" w:rsidRDefault="005746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04F3E"/>
    <w:rsid w:val="00005687"/>
    <w:rsid w:val="00010044"/>
    <w:rsid w:val="00014406"/>
    <w:rsid w:val="00022ABD"/>
    <w:rsid w:val="00025D40"/>
    <w:rsid w:val="000300E5"/>
    <w:rsid w:val="0003246C"/>
    <w:rsid w:val="00033010"/>
    <w:rsid w:val="00033204"/>
    <w:rsid w:val="00034237"/>
    <w:rsid w:val="00035EC9"/>
    <w:rsid w:val="000475F0"/>
    <w:rsid w:val="00051D71"/>
    <w:rsid w:val="000539F6"/>
    <w:rsid w:val="00056EE0"/>
    <w:rsid w:val="00057323"/>
    <w:rsid w:val="00066FC3"/>
    <w:rsid w:val="0008010F"/>
    <w:rsid w:val="00081ADE"/>
    <w:rsid w:val="00084E7D"/>
    <w:rsid w:val="00087988"/>
    <w:rsid w:val="0009227A"/>
    <w:rsid w:val="00093E55"/>
    <w:rsid w:val="00094F20"/>
    <w:rsid w:val="000A0272"/>
    <w:rsid w:val="000A0ECE"/>
    <w:rsid w:val="000A588E"/>
    <w:rsid w:val="000B02FD"/>
    <w:rsid w:val="000B53A5"/>
    <w:rsid w:val="000C06E1"/>
    <w:rsid w:val="000C1032"/>
    <w:rsid w:val="000D18EF"/>
    <w:rsid w:val="000D2072"/>
    <w:rsid w:val="000E13E9"/>
    <w:rsid w:val="000E7D66"/>
    <w:rsid w:val="000F07E6"/>
    <w:rsid w:val="000F407E"/>
    <w:rsid w:val="000F5867"/>
    <w:rsid w:val="000F6458"/>
    <w:rsid w:val="001039BC"/>
    <w:rsid w:val="001279BE"/>
    <w:rsid w:val="0013251E"/>
    <w:rsid w:val="001445A9"/>
    <w:rsid w:val="00146307"/>
    <w:rsid w:val="001533B2"/>
    <w:rsid w:val="001558F3"/>
    <w:rsid w:val="0016138D"/>
    <w:rsid w:val="00161F5D"/>
    <w:rsid w:val="001623CF"/>
    <w:rsid w:val="00163282"/>
    <w:rsid w:val="00165D5C"/>
    <w:rsid w:val="00166B15"/>
    <w:rsid w:val="00174C8C"/>
    <w:rsid w:val="0017571E"/>
    <w:rsid w:val="00175AED"/>
    <w:rsid w:val="00191702"/>
    <w:rsid w:val="00192262"/>
    <w:rsid w:val="001A593B"/>
    <w:rsid w:val="001A67F7"/>
    <w:rsid w:val="001C5F7B"/>
    <w:rsid w:val="001C701E"/>
    <w:rsid w:val="001D04AB"/>
    <w:rsid w:val="001D2521"/>
    <w:rsid w:val="001D4D89"/>
    <w:rsid w:val="001D74AE"/>
    <w:rsid w:val="001E7CAD"/>
    <w:rsid w:val="001E7FE4"/>
    <w:rsid w:val="001F125D"/>
    <w:rsid w:val="001F15CB"/>
    <w:rsid w:val="001F2B5E"/>
    <w:rsid w:val="001F440B"/>
    <w:rsid w:val="001F533E"/>
    <w:rsid w:val="0021172E"/>
    <w:rsid w:val="00213495"/>
    <w:rsid w:val="00221DE2"/>
    <w:rsid w:val="002253D5"/>
    <w:rsid w:val="00230B16"/>
    <w:rsid w:val="00232A65"/>
    <w:rsid w:val="00234298"/>
    <w:rsid w:val="002343BD"/>
    <w:rsid w:val="00235706"/>
    <w:rsid w:val="002471D4"/>
    <w:rsid w:val="00253326"/>
    <w:rsid w:val="002614AB"/>
    <w:rsid w:val="00261CDE"/>
    <w:rsid w:val="0026276F"/>
    <w:rsid w:val="002658B9"/>
    <w:rsid w:val="00275D62"/>
    <w:rsid w:val="00276CA4"/>
    <w:rsid w:val="002823E9"/>
    <w:rsid w:val="00282A7F"/>
    <w:rsid w:val="00284E14"/>
    <w:rsid w:val="00293DE4"/>
    <w:rsid w:val="002941EC"/>
    <w:rsid w:val="00296096"/>
    <w:rsid w:val="00296303"/>
    <w:rsid w:val="002968AB"/>
    <w:rsid w:val="002970F7"/>
    <w:rsid w:val="002A034E"/>
    <w:rsid w:val="002A1F54"/>
    <w:rsid w:val="002A4FF0"/>
    <w:rsid w:val="002B0B83"/>
    <w:rsid w:val="002B144C"/>
    <w:rsid w:val="002B16F4"/>
    <w:rsid w:val="002B2DA0"/>
    <w:rsid w:val="002B5BA2"/>
    <w:rsid w:val="002B7B4F"/>
    <w:rsid w:val="002C166C"/>
    <w:rsid w:val="002C5D36"/>
    <w:rsid w:val="002E24D1"/>
    <w:rsid w:val="002E6FA5"/>
    <w:rsid w:val="002E79D9"/>
    <w:rsid w:val="002E7B0A"/>
    <w:rsid w:val="002F2B53"/>
    <w:rsid w:val="00303860"/>
    <w:rsid w:val="00311075"/>
    <w:rsid w:val="003117E6"/>
    <w:rsid w:val="00312A96"/>
    <w:rsid w:val="0031471A"/>
    <w:rsid w:val="00317CB9"/>
    <w:rsid w:val="003224CD"/>
    <w:rsid w:val="00322511"/>
    <w:rsid w:val="00323088"/>
    <w:rsid w:val="00332619"/>
    <w:rsid w:val="00333802"/>
    <w:rsid w:val="003377D2"/>
    <w:rsid w:val="003467B5"/>
    <w:rsid w:val="003509F6"/>
    <w:rsid w:val="00353EB4"/>
    <w:rsid w:val="00355B7C"/>
    <w:rsid w:val="00357E56"/>
    <w:rsid w:val="00361065"/>
    <w:rsid w:val="0036248F"/>
    <w:rsid w:val="003644DE"/>
    <w:rsid w:val="00377B15"/>
    <w:rsid w:val="00382BCB"/>
    <w:rsid w:val="00391944"/>
    <w:rsid w:val="0039279F"/>
    <w:rsid w:val="003927D8"/>
    <w:rsid w:val="00393949"/>
    <w:rsid w:val="003948AF"/>
    <w:rsid w:val="00394BBC"/>
    <w:rsid w:val="003A3106"/>
    <w:rsid w:val="003A4AC6"/>
    <w:rsid w:val="003A59B3"/>
    <w:rsid w:val="003C2820"/>
    <w:rsid w:val="003C3CB5"/>
    <w:rsid w:val="003C5A1A"/>
    <w:rsid w:val="003D0424"/>
    <w:rsid w:val="003D32D7"/>
    <w:rsid w:val="003F4E13"/>
    <w:rsid w:val="003F6960"/>
    <w:rsid w:val="0040020D"/>
    <w:rsid w:val="00405ADB"/>
    <w:rsid w:val="00420A25"/>
    <w:rsid w:val="004254EE"/>
    <w:rsid w:val="00430D19"/>
    <w:rsid w:val="00433480"/>
    <w:rsid w:val="0043533C"/>
    <w:rsid w:val="0043655D"/>
    <w:rsid w:val="00437D86"/>
    <w:rsid w:val="00441246"/>
    <w:rsid w:val="00441E0B"/>
    <w:rsid w:val="004443AD"/>
    <w:rsid w:val="00452A46"/>
    <w:rsid w:val="00454581"/>
    <w:rsid w:val="00454978"/>
    <w:rsid w:val="004676C5"/>
    <w:rsid w:val="00467E81"/>
    <w:rsid w:val="004744B6"/>
    <w:rsid w:val="004748B9"/>
    <w:rsid w:val="00477965"/>
    <w:rsid w:val="00477BA8"/>
    <w:rsid w:val="00477EB2"/>
    <w:rsid w:val="004803BA"/>
    <w:rsid w:val="0048111A"/>
    <w:rsid w:val="00485343"/>
    <w:rsid w:val="00487BF1"/>
    <w:rsid w:val="00491FCB"/>
    <w:rsid w:val="00497943"/>
    <w:rsid w:val="00497A8B"/>
    <w:rsid w:val="004A0E45"/>
    <w:rsid w:val="004A4E7F"/>
    <w:rsid w:val="004A54A6"/>
    <w:rsid w:val="004B1105"/>
    <w:rsid w:val="004C00C6"/>
    <w:rsid w:val="004C3109"/>
    <w:rsid w:val="004C44C4"/>
    <w:rsid w:val="004C625A"/>
    <w:rsid w:val="004C6355"/>
    <w:rsid w:val="004D062A"/>
    <w:rsid w:val="004D538F"/>
    <w:rsid w:val="004E1D5E"/>
    <w:rsid w:val="004E630B"/>
    <w:rsid w:val="004F7313"/>
    <w:rsid w:val="0050255A"/>
    <w:rsid w:val="00503CD4"/>
    <w:rsid w:val="005158A6"/>
    <w:rsid w:val="0052094C"/>
    <w:rsid w:val="00534A41"/>
    <w:rsid w:val="0053650E"/>
    <w:rsid w:val="005372D5"/>
    <w:rsid w:val="00542535"/>
    <w:rsid w:val="00544E6E"/>
    <w:rsid w:val="00547910"/>
    <w:rsid w:val="00551033"/>
    <w:rsid w:val="00560AC4"/>
    <w:rsid w:val="00563FE4"/>
    <w:rsid w:val="00567A02"/>
    <w:rsid w:val="005711D9"/>
    <w:rsid w:val="00574611"/>
    <w:rsid w:val="005751C6"/>
    <w:rsid w:val="00575D34"/>
    <w:rsid w:val="00582D8F"/>
    <w:rsid w:val="005837B0"/>
    <w:rsid w:val="005867B7"/>
    <w:rsid w:val="00596AC1"/>
    <w:rsid w:val="005A408B"/>
    <w:rsid w:val="005A46AE"/>
    <w:rsid w:val="005A4A49"/>
    <w:rsid w:val="005A77EA"/>
    <w:rsid w:val="005B07B7"/>
    <w:rsid w:val="005B3826"/>
    <w:rsid w:val="005B5746"/>
    <w:rsid w:val="005C00AF"/>
    <w:rsid w:val="005C7C95"/>
    <w:rsid w:val="005D3C24"/>
    <w:rsid w:val="005D4528"/>
    <w:rsid w:val="005E088E"/>
    <w:rsid w:val="005E0F00"/>
    <w:rsid w:val="005F4D9C"/>
    <w:rsid w:val="005F7E5C"/>
    <w:rsid w:val="00604996"/>
    <w:rsid w:val="00605B67"/>
    <w:rsid w:val="0060772A"/>
    <w:rsid w:val="006163B1"/>
    <w:rsid w:val="006164B7"/>
    <w:rsid w:val="00616874"/>
    <w:rsid w:val="0062589F"/>
    <w:rsid w:val="00626EA8"/>
    <w:rsid w:val="00641CEA"/>
    <w:rsid w:val="006420A1"/>
    <w:rsid w:val="0065080E"/>
    <w:rsid w:val="006513E1"/>
    <w:rsid w:val="00653AAD"/>
    <w:rsid w:val="00654778"/>
    <w:rsid w:val="00655229"/>
    <w:rsid w:val="00656B0C"/>
    <w:rsid w:val="0066309A"/>
    <w:rsid w:val="0066472B"/>
    <w:rsid w:val="0066627D"/>
    <w:rsid w:val="00667C98"/>
    <w:rsid w:val="006727B3"/>
    <w:rsid w:val="006832A2"/>
    <w:rsid w:val="00684A20"/>
    <w:rsid w:val="00684D69"/>
    <w:rsid w:val="006875F5"/>
    <w:rsid w:val="00690EC4"/>
    <w:rsid w:val="006962CB"/>
    <w:rsid w:val="00697D15"/>
    <w:rsid w:val="006A0BB0"/>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36D9"/>
    <w:rsid w:val="00714CEA"/>
    <w:rsid w:val="007159A1"/>
    <w:rsid w:val="0071642F"/>
    <w:rsid w:val="007206EC"/>
    <w:rsid w:val="00722DD7"/>
    <w:rsid w:val="00725827"/>
    <w:rsid w:val="00725F68"/>
    <w:rsid w:val="0073075C"/>
    <w:rsid w:val="007315E0"/>
    <w:rsid w:val="0074144B"/>
    <w:rsid w:val="00741A3E"/>
    <w:rsid w:val="007443C2"/>
    <w:rsid w:val="0074617E"/>
    <w:rsid w:val="00751205"/>
    <w:rsid w:val="00756CAD"/>
    <w:rsid w:val="007629BB"/>
    <w:rsid w:val="00762A82"/>
    <w:rsid w:val="007703B8"/>
    <w:rsid w:val="00771227"/>
    <w:rsid w:val="00772D42"/>
    <w:rsid w:val="00775751"/>
    <w:rsid w:val="00781015"/>
    <w:rsid w:val="00787132"/>
    <w:rsid w:val="007900FC"/>
    <w:rsid w:val="00794869"/>
    <w:rsid w:val="007948BC"/>
    <w:rsid w:val="00797876"/>
    <w:rsid w:val="007A5116"/>
    <w:rsid w:val="007A5263"/>
    <w:rsid w:val="007B3A14"/>
    <w:rsid w:val="007B4EC6"/>
    <w:rsid w:val="007B549A"/>
    <w:rsid w:val="007B5745"/>
    <w:rsid w:val="007B6893"/>
    <w:rsid w:val="007C3F2C"/>
    <w:rsid w:val="007C51E4"/>
    <w:rsid w:val="007D2D95"/>
    <w:rsid w:val="007D4066"/>
    <w:rsid w:val="007E3204"/>
    <w:rsid w:val="007E3EED"/>
    <w:rsid w:val="007F136D"/>
    <w:rsid w:val="007F2F9C"/>
    <w:rsid w:val="007F60CB"/>
    <w:rsid w:val="00801AAB"/>
    <w:rsid w:val="008044E5"/>
    <w:rsid w:val="0080773A"/>
    <w:rsid w:val="0081788D"/>
    <w:rsid w:val="00825398"/>
    <w:rsid w:val="008263AE"/>
    <w:rsid w:val="008318C0"/>
    <w:rsid w:val="00831A29"/>
    <w:rsid w:val="00832B61"/>
    <w:rsid w:val="00835A88"/>
    <w:rsid w:val="00840106"/>
    <w:rsid w:val="00847A69"/>
    <w:rsid w:val="00847D2B"/>
    <w:rsid w:val="008619E1"/>
    <w:rsid w:val="008634A5"/>
    <w:rsid w:val="00866E5A"/>
    <w:rsid w:val="008721DF"/>
    <w:rsid w:val="008738A9"/>
    <w:rsid w:val="00876EC6"/>
    <w:rsid w:val="00881C77"/>
    <w:rsid w:val="00882FB0"/>
    <w:rsid w:val="008839E0"/>
    <w:rsid w:val="00887017"/>
    <w:rsid w:val="00891007"/>
    <w:rsid w:val="00895C7D"/>
    <w:rsid w:val="008960FA"/>
    <w:rsid w:val="008A0820"/>
    <w:rsid w:val="008A1AFA"/>
    <w:rsid w:val="008A20CD"/>
    <w:rsid w:val="008A2CE2"/>
    <w:rsid w:val="008A3460"/>
    <w:rsid w:val="008B52F8"/>
    <w:rsid w:val="008B539C"/>
    <w:rsid w:val="008B77D5"/>
    <w:rsid w:val="008C155D"/>
    <w:rsid w:val="008D4634"/>
    <w:rsid w:val="008D5CDA"/>
    <w:rsid w:val="008E4CD7"/>
    <w:rsid w:val="008E58F7"/>
    <w:rsid w:val="008E6EC1"/>
    <w:rsid w:val="008F5835"/>
    <w:rsid w:val="00903815"/>
    <w:rsid w:val="00903C0A"/>
    <w:rsid w:val="009062C4"/>
    <w:rsid w:val="0090713F"/>
    <w:rsid w:val="0090723B"/>
    <w:rsid w:val="00910193"/>
    <w:rsid w:val="00912F3F"/>
    <w:rsid w:val="0092312D"/>
    <w:rsid w:val="00930F96"/>
    <w:rsid w:val="0093104D"/>
    <w:rsid w:val="00933628"/>
    <w:rsid w:val="009435CD"/>
    <w:rsid w:val="00944270"/>
    <w:rsid w:val="00944C78"/>
    <w:rsid w:val="009465EA"/>
    <w:rsid w:val="009506DC"/>
    <w:rsid w:val="00954FC8"/>
    <w:rsid w:val="009566C4"/>
    <w:rsid w:val="00956DD9"/>
    <w:rsid w:val="009628AE"/>
    <w:rsid w:val="0096342B"/>
    <w:rsid w:val="00965640"/>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002F"/>
    <w:rsid w:val="009C15E2"/>
    <w:rsid w:val="009C33BF"/>
    <w:rsid w:val="009C3820"/>
    <w:rsid w:val="009D7673"/>
    <w:rsid w:val="009E35EB"/>
    <w:rsid w:val="009E64F2"/>
    <w:rsid w:val="009E7875"/>
    <w:rsid w:val="009F72D1"/>
    <w:rsid w:val="00A0698A"/>
    <w:rsid w:val="00A144A6"/>
    <w:rsid w:val="00A21627"/>
    <w:rsid w:val="00A3160F"/>
    <w:rsid w:val="00A37A94"/>
    <w:rsid w:val="00A41611"/>
    <w:rsid w:val="00A441B7"/>
    <w:rsid w:val="00A447AF"/>
    <w:rsid w:val="00A46430"/>
    <w:rsid w:val="00A476E3"/>
    <w:rsid w:val="00A5780A"/>
    <w:rsid w:val="00A62B15"/>
    <w:rsid w:val="00A63901"/>
    <w:rsid w:val="00A63F21"/>
    <w:rsid w:val="00A71C7C"/>
    <w:rsid w:val="00A7247E"/>
    <w:rsid w:val="00A72BFA"/>
    <w:rsid w:val="00A72FCD"/>
    <w:rsid w:val="00A74844"/>
    <w:rsid w:val="00A81D7B"/>
    <w:rsid w:val="00A87DCB"/>
    <w:rsid w:val="00A979C5"/>
    <w:rsid w:val="00AB49A1"/>
    <w:rsid w:val="00AC1161"/>
    <w:rsid w:val="00AC7A13"/>
    <w:rsid w:val="00AD18DD"/>
    <w:rsid w:val="00AD297C"/>
    <w:rsid w:val="00AD562B"/>
    <w:rsid w:val="00AE3F47"/>
    <w:rsid w:val="00AE69BF"/>
    <w:rsid w:val="00AF7347"/>
    <w:rsid w:val="00B014DF"/>
    <w:rsid w:val="00B07094"/>
    <w:rsid w:val="00B11B77"/>
    <w:rsid w:val="00B16987"/>
    <w:rsid w:val="00B17EF5"/>
    <w:rsid w:val="00B2068A"/>
    <w:rsid w:val="00B23F95"/>
    <w:rsid w:val="00B25BAB"/>
    <w:rsid w:val="00B26285"/>
    <w:rsid w:val="00B3028C"/>
    <w:rsid w:val="00B33F4A"/>
    <w:rsid w:val="00B3705D"/>
    <w:rsid w:val="00B41297"/>
    <w:rsid w:val="00B504F2"/>
    <w:rsid w:val="00B517DE"/>
    <w:rsid w:val="00B51CE1"/>
    <w:rsid w:val="00B61D0F"/>
    <w:rsid w:val="00B64EDD"/>
    <w:rsid w:val="00B6583B"/>
    <w:rsid w:val="00B65E43"/>
    <w:rsid w:val="00B725A0"/>
    <w:rsid w:val="00B7491E"/>
    <w:rsid w:val="00B763C4"/>
    <w:rsid w:val="00B813F1"/>
    <w:rsid w:val="00B91560"/>
    <w:rsid w:val="00B9364B"/>
    <w:rsid w:val="00B95F9A"/>
    <w:rsid w:val="00BA0E21"/>
    <w:rsid w:val="00BA1434"/>
    <w:rsid w:val="00BA2F0A"/>
    <w:rsid w:val="00BA3915"/>
    <w:rsid w:val="00BA3AE4"/>
    <w:rsid w:val="00BB3501"/>
    <w:rsid w:val="00BB3A06"/>
    <w:rsid w:val="00BB7A7F"/>
    <w:rsid w:val="00BC3F72"/>
    <w:rsid w:val="00BC64B2"/>
    <w:rsid w:val="00BC662F"/>
    <w:rsid w:val="00BC6FFD"/>
    <w:rsid w:val="00BC778B"/>
    <w:rsid w:val="00BC7AFE"/>
    <w:rsid w:val="00BD1958"/>
    <w:rsid w:val="00BD3CFA"/>
    <w:rsid w:val="00BD4B82"/>
    <w:rsid w:val="00BD7C42"/>
    <w:rsid w:val="00BE2CDD"/>
    <w:rsid w:val="00BE520E"/>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86FE4"/>
    <w:rsid w:val="00C9160A"/>
    <w:rsid w:val="00C972C4"/>
    <w:rsid w:val="00CA1FEF"/>
    <w:rsid w:val="00CA25FC"/>
    <w:rsid w:val="00CA2A66"/>
    <w:rsid w:val="00CA3E1B"/>
    <w:rsid w:val="00CA6A56"/>
    <w:rsid w:val="00CB2CEE"/>
    <w:rsid w:val="00CB4DE3"/>
    <w:rsid w:val="00CC21BD"/>
    <w:rsid w:val="00CC2F35"/>
    <w:rsid w:val="00CC40C3"/>
    <w:rsid w:val="00CD42C4"/>
    <w:rsid w:val="00CE43F8"/>
    <w:rsid w:val="00CE7C8B"/>
    <w:rsid w:val="00CF01CC"/>
    <w:rsid w:val="00CF6D5C"/>
    <w:rsid w:val="00D038AD"/>
    <w:rsid w:val="00D10B1F"/>
    <w:rsid w:val="00D11E1F"/>
    <w:rsid w:val="00D16B36"/>
    <w:rsid w:val="00D20C81"/>
    <w:rsid w:val="00D23E22"/>
    <w:rsid w:val="00D25907"/>
    <w:rsid w:val="00D3262F"/>
    <w:rsid w:val="00D3482E"/>
    <w:rsid w:val="00D361FE"/>
    <w:rsid w:val="00D36E74"/>
    <w:rsid w:val="00D41E4A"/>
    <w:rsid w:val="00D42F13"/>
    <w:rsid w:val="00D43B3D"/>
    <w:rsid w:val="00D5035D"/>
    <w:rsid w:val="00D5213E"/>
    <w:rsid w:val="00D52A3F"/>
    <w:rsid w:val="00D535B2"/>
    <w:rsid w:val="00D56E0D"/>
    <w:rsid w:val="00D62A71"/>
    <w:rsid w:val="00D65FA0"/>
    <w:rsid w:val="00D70A3B"/>
    <w:rsid w:val="00D72110"/>
    <w:rsid w:val="00D80C93"/>
    <w:rsid w:val="00D8450E"/>
    <w:rsid w:val="00D919AF"/>
    <w:rsid w:val="00D937BD"/>
    <w:rsid w:val="00DA2D7C"/>
    <w:rsid w:val="00DB6F0A"/>
    <w:rsid w:val="00DC1A4C"/>
    <w:rsid w:val="00DD7BAA"/>
    <w:rsid w:val="00DE0FFA"/>
    <w:rsid w:val="00DE6A70"/>
    <w:rsid w:val="00DF3DF3"/>
    <w:rsid w:val="00DF5AA8"/>
    <w:rsid w:val="00DF79BC"/>
    <w:rsid w:val="00E0009C"/>
    <w:rsid w:val="00E01450"/>
    <w:rsid w:val="00E07529"/>
    <w:rsid w:val="00E11D7D"/>
    <w:rsid w:val="00E1254C"/>
    <w:rsid w:val="00E13623"/>
    <w:rsid w:val="00E16895"/>
    <w:rsid w:val="00E27AC6"/>
    <w:rsid w:val="00E30D5D"/>
    <w:rsid w:val="00E30E3F"/>
    <w:rsid w:val="00E32614"/>
    <w:rsid w:val="00E33250"/>
    <w:rsid w:val="00E3526B"/>
    <w:rsid w:val="00E5059C"/>
    <w:rsid w:val="00E54C06"/>
    <w:rsid w:val="00E5664A"/>
    <w:rsid w:val="00E70DB5"/>
    <w:rsid w:val="00E7407A"/>
    <w:rsid w:val="00E81A0A"/>
    <w:rsid w:val="00E964F7"/>
    <w:rsid w:val="00EA6F84"/>
    <w:rsid w:val="00EB7931"/>
    <w:rsid w:val="00ED2024"/>
    <w:rsid w:val="00ED548C"/>
    <w:rsid w:val="00ED6BDC"/>
    <w:rsid w:val="00ED7F3F"/>
    <w:rsid w:val="00EE0807"/>
    <w:rsid w:val="00EE1EA5"/>
    <w:rsid w:val="00EE5402"/>
    <w:rsid w:val="00EE6376"/>
    <w:rsid w:val="00EF043C"/>
    <w:rsid w:val="00EF1BF0"/>
    <w:rsid w:val="00EF1DFF"/>
    <w:rsid w:val="00EF2FBB"/>
    <w:rsid w:val="00EF49B3"/>
    <w:rsid w:val="00EF56E1"/>
    <w:rsid w:val="00EF73FD"/>
    <w:rsid w:val="00EF7D76"/>
    <w:rsid w:val="00F00561"/>
    <w:rsid w:val="00F01150"/>
    <w:rsid w:val="00F01E3D"/>
    <w:rsid w:val="00F024F5"/>
    <w:rsid w:val="00F04DC2"/>
    <w:rsid w:val="00F066D9"/>
    <w:rsid w:val="00F14AAA"/>
    <w:rsid w:val="00F20C92"/>
    <w:rsid w:val="00F25F52"/>
    <w:rsid w:val="00F3362C"/>
    <w:rsid w:val="00F419BC"/>
    <w:rsid w:val="00F469D5"/>
    <w:rsid w:val="00F47FEE"/>
    <w:rsid w:val="00F527B3"/>
    <w:rsid w:val="00F632AF"/>
    <w:rsid w:val="00F6382D"/>
    <w:rsid w:val="00F63F55"/>
    <w:rsid w:val="00F66378"/>
    <w:rsid w:val="00F71C51"/>
    <w:rsid w:val="00F77F4B"/>
    <w:rsid w:val="00F85FE2"/>
    <w:rsid w:val="00F9100C"/>
    <w:rsid w:val="00F96743"/>
    <w:rsid w:val="00FA0934"/>
    <w:rsid w:val="00FA653D"/>
    <w:rsid w:val="00FA6C9F"/>
    <w:rsid w:val="00FB23EE"/>
    <w:rsid w:val="00FB3558"/>
    <w:rsid w:val="00FC23D6"/>
    <w:rsid w:val="00FC34DF"/>
    <w:rsid w:val="00FD2C94"/>
    <w:rsid w:val="00FD658E"/>
    <w:rsid w:val="00FE0C5A"/>
    <w:rsid w:val="00FE13A2"/>
    <w:rsid w:val="669B5D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lsdException w:name="footer" w:semiHidden="0"/>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40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014406"/>
    <w:pPr>
      <w:jc w:val="left"/>
    </w:pPr>
  </w:style>
  <w:style w:type="paragraph" w:styleId="a4">
    <w:name w:val="Balloon Text"/>
    <w:basedOn w:val="a"/>
    <w:link w:val="Char0"/>
    <w:uiPriority w:val="99"/>
    <w:semiHidden/>
    <w:unhideWhenUsed/>
    <w:qFormat/>
    <w:rsid w:val="00014406"/>
    <w:rPr>
      <w:sz w:val="18"/>
      <w:szCs w:val="18"/>
    </w:rPr>
  </w:style>
  <w:style w:type="paragraph" w:styleId="a5">
    <w:name w:val="footer"/>
    <w:basedOn w:val="a"/>
    <w:link w:val="Char1"/>
    <w:uiPriority w:val="99"/>
    <w:unhideWhenUsed/>
    <w:rsid w:val="00014406"/>
    <w:pPr>
      <w:tabs>
        <w:tab w:val="center" w:pos="4153"/>
        <w:tab w:val="right" w:pos="8306"/>
      </w:tabs>
      <w:snapToGrid w:val="0"/>
      <w:jc w:val="left"/>
    </w:pPr>
    <w:rPr>
      <w:sz w:val="18"/>
      <w:szCs w:val="18"/>
    </w:rPr>
  </w:style>
  <w:style w:type="paragraph" w:styleId="a6">
    <w:name w:val="header"/>
    <w:basedOn w:val="a"/>
    <w:link w:val="Char2"/>
    <w:uiPriority w:val="99"/>
    <w:unhideWhenUsed/>
    <w:rsid w:val="00014406"/>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rsid w:val="00014406"/>
    <w:pPr>
      <w:snapToGrid w:val="0"/>
      <w:jc w:val="left"/>
    </w:pPr>
    <w:rPr>
      <w:sz w:val="18"/>
      <w:szCs w:val="18"/>
    </w:rPr>
  </w:style>
  <w:style w:type="paragraph" w:styleId="a8">
    <w:name w:val="annotation subject"/>
    <w:basedOn w:val="a3"/>
    <w:next w:val="a3"/>
    <w:link w:val="Char4"/>
    <w:uiPriority w:val="99"/>
    <w:semiHidden/>
    <w:unhideWhenUsed/>
    <w:qFormat/>
    <w:rsid w:val="00014406"/>
    <w:rPr>
      <w:b/>
      <w:bCs/>
    </w:rPr>
  </w:style>
  <w:style w:type="character" w:styleId="a9">
    <w:name w:val="Hyperlink"/>
    <w:basedOn w:val="a0"/>
    <w:uiPriority w:val="99"/>
    <w:unhideWhenUsed/>
    <w:qFormat/>
    <w:rsid w:val="00014406"/>
    <w:rPr>
      <w:color w:val="0000FF" w:themeColor="hyperlink"/>
      <w:u w:val="single"/>
    </w:rPr>
  </w:style>
  <w:style w:type="character" w:styleId="aa">
    <w:name w:val="annotation reference"/>
    <w:basedOn w:val="a0"/>
    <w:uiPriority w:val="99"/>
    <w:semiHidden/>
    <w:unhideWhenUsed/>
    <w:qFormat/>
    <w:rsid w:val="00014406"/>
    <w:rPr>
      <w:sz w:val="21"/>
      <w:szCs w:val="21"/>
    </w:rPr>
  </w:style>
  <w:style w:type="character" w:styleId="ab">
    <w:name w:val="footnote reference"/>
    <w:basedOn w:val="a0"/>
    <w:uiPriority w:val="99"/>
    <w:semiHidden/>
    <w:unhideWhenUsed/>
    <w:qFormat/>
    <w:rsid w:val="00014406"/>
    <w:rPr>
      <w:vertAlign w:val="superscript"/>
    </w:rPr>
  </w:style>
  <w:style w:type="character" w:customStyle="1" w:styleId="Char2">
    <w:name w:val="页眉 Char"/>
    <w:basedOn w:val="a0"/>
    <w:link w:val="a6"/>
    <w:uiPriority w:val="99"/>
    <w:qFormat/>
    <w:rsid w:val="00014406"/>
    <w:rPr>
      <w:sz w:val="18"/>
      <w:szCs w:val="18"/>
    </w:rPr>
  </w:style>
  <w:style w:type="character" w:customStyle="1" w:styleId="Char1">
    <w:name w:val="页脚 Char"/>
    <w:basedOn w:val="a0"/>
    <w:link w:val="a5"/>
    <w:uiPriority w:val="99"/>
    <w:rsid w:val="00014406"/>
    <w:rPr>
      <w:sz w:val="18"/>
      <w:szCs w:val="18"/>
    </w:rPr>
  </w:style>
  <w:style w:type="paragraph" w:styleId="ac">
    <w:name w:val="List Paragraph"/>
    <w:basedOn w:val="a"/>
    <w:uiPriority w:val="72"/>
    <w:qFormat/>
    <w:rsid w:val="00014406"/>
    <w:pPr>
      <w:ind w:firstLineChars="200" w:firstLine="420"/>
    </w:pPr>
  </w:style>
  <w:style w:type="character" w:customStyle="1" w:styleId="Char0">
    <w:name w:val="批注框文本 Char"/>
    <w:basedOn w:val="a0"/>
    <w:link w:val="a4"/>
    <w:uiPriority w:val="99"/>
    <w:semiHidden/>
    <w:qFormat/>
    <w:rsid w:val="00014406"/>
    <w:rPr>
      <w:sz w:val="18"/>
      <w:szCs w:val="18"/>
    </w:rPr>
  </w:style>
  <w:style w:type="character" w:customStyle="1" w:styleId="Char">
    <w:name w:val="批注文字 Char"/>
    <w:basedOn w:val="a0"/>
    <w:link w:val="a3"/>
    <w:uiPriority w:val="99"/>
    <w:semiHidden/>
    <w:rsid w:val="00014406"/>
  </w:style>
  <w:style w:type="character" w:customStyle="1" w:styleId="Char4">
    <w:name w:val="批注主题 Char"/>
    <w:basedOn w:val="Char"/>
    <w:link w:val="a8"/>
    <w:uiPriority w:val="99"/>
    <w:semiHidden/>
    <w:qFormat/>
    <w:rsid w:val="00014406"/>
    <w:rPr>
      <w:b/>
      <w:bCs/>
    </w:rPr>
  </w:style>
  <w:style w:type="character" w:customStyle="1" w:styleId="Char3">
    <w:name w:val="脚注文本 Char"/>
    <w:basedOn w:val="a0"/>
    <w:link w:val="a7"/>
    <w:uiPriority w:val="99"/>
    <w:semiHidden/>
    <w:qFormat/>
    <w:rsid w:val="00014406"/>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5612A-F4F1-4694-87C9-3F912C1E1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942</Words>
  <Characters>5375</Characters>
  <Application>Microsoft Office Word</Application>
  <DocSecurity>4</DocSecurity>
  <Lines>44</Lines>
  <Paragraphs>12</Paragraphs>
  <ScaleCrop>false</ScaleCrop>
  <Company/>
  <LinksUpToDate>false</LinksUpToDate>
  <CharactersWithSpaces>6305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2025-07-20T16:02:00Z</dcterms:created>
  <dcterms:modified xsi:type="dcterms:W3CDTF">2025-07-20T16:02:00Z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D4AC0E8DF1B0464984FE36AD7EAEED1C_12</vt:lpwstr>
  </property>
</Properties>
</file>