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10" w:rsidRDefault="00A018AF">
      <w:pPr>
        <w:spacing w:line="540" w:lineRule="exact"/>
        <w:ind w:firstLineChars="50" w:firstLine="161"/>
        <w:jc w:val="center"/>
        <w:rPr>
          <w:rFonts w:ascii="Times New Roman" w:eastAsia="宋体" w:hAnsi="Times New Roman"/>
          <w:b/>
          <w:color w:val="000000" w:themeColor="text1"/>
          <w:sz w:val="32"/>
          <w:szCs w:val="32"/>
        </w:rPr>
      </w:pPr>
      <w:bookmarkStart w:id="0" w:name="_GoBack"/>
      <w:r>
        <w:rPr>
          <w:rFonts w:ascii="Times New Roman" w:eastAsia="宋体" w:hAnsi="Times New Roman" w:hint="eastAsia"/>
          <w:b/>
          <w:color w:val="000000" w:themeColor="text1"/>
          <w:sz w:val="32"/>
          <w:szCs w:val="32"/>
        </w:rPr>
        <w:t>海富通基金</w:t>
      </w:r>
      <w:bookmarkEnd w:id="0"/>
      <w:r>
        <w:rPr>
          <w:rFonts w:ascii="Times New Roman" w:eastAsia="宋体" w:hAnsi="Times New Roman" w:hint="eastAsia"/>
          <w:b/>
          <w:color w:val="000000" w:themeColor="text1"/>
          <w:sz w:val="32"/>
          <w:szCs w:val="32"/>
        </w:rPr>
        <w:t>管理有限公司旗下</w:t>
      </w:r>
      <w:r>
        <w:rPr>
          <w:rFonts w:ascii="Times New Roman" w:eastAsia="宋体" w:hAnsi="Times New Roman"/>
          <w:b/>
          <w:color w:val="000000" w:themeColor="text1"/>
          <w:sz w:val="32"/>
          <w:szCs w:val="32"/>
        </w:rPr>
        <w:t>部</w:t>
      </w:r>
      <w:r>
        <w:rPr>
          <w:rFonts w:ascii="Times New Roman" w:eastAsia="宋体" w:hAnsi="Times New Roman" w:hint="eastAsia"/>
          <w:b/>
          <w:color w:val="000000" w:themeColor="text1"/>
          <w:sz w:val="32"/>
          <w:szCs w:val="32"/>
        </w:rPr>
        <w:t>分基金</w:t>
      </w:r>
      <w:r>
        <w:rPr>
          <w:rFonts w:ascii="Times New Roman" w:eastAsia="宋体" w:hAnsi="Times New Roman" w:hint="eastAsia"/>
          <w:b/>
          <w:color w:val="000000" w:themeColor="text1"/>
          <w:sz w:val="32"/>
          <w:szCs w:val="32"/>
        </w:rPr>
        <w:t>2025</w:t>
      </w:r>
      <w:r>
        <w:rPr>
          <w:rFonts w:ascii="Times New Roman" w:eastAsia="宋体" w:hAnsi="Times New Roman" w:hint="eastAsia"/>
          <w:b/>
          <w:color w:val="000000" w:themeColor="text1"/>
          <w:sz w:val="32"/>
          <w:szCs w:val="32"/>
        </w:rPr>
        <w:t>年第二季度报告提示性公告</w:t>
      </w:r>
    </w:p>
    <w:p w:rsidR="00180A10" w:rsidRDefault="00180A10">
      <w:pPr>
        <w:spacing w:line="540" w:lineRule="exact"/>
        <w:ind w:firstLineChars="250" w:firstLine="800"/>
        <w:rPr>
          <w:rFonts w:ascii="Times New Roman" w:eastAsia="仿宋" w:hAnsi="Times New Roman"/>
          <w:color w:val="000000" w:themeColor="text1"/>
          <w:sz w:val="32"/>
          <w:szCs w:val="32"/>
        </w:rPr>
      </w:pPr>
    </w:p>
    <w:p w:rsidR="00180A10" w:rsidRDefault="00A018AF">
      <w:pPr>
        <w:spacing w:line="540" w:lineRule="exact"/>
        <w:ind w:firstLineChars="250" w:firstLine="60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本公司董事会及董事保证披露的基金</w:t>
      </w: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年第二季度报告所载资料不存在虚假记载、误导性陈述或重大遗漏，并对其内容的真实性、准确性和完整性承担个别及连带责任。</w:t>
      </w:r>
    </w:p>
    <w:p w:rsidR="00180A10" w:rsidRDefault="00A018AF">
      <w:pPr>
        <w:spacing w:line="540" w:lineRule="exact"/>
        <w:ind w:firstLineChars="250" w:firstLine="60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海富通基金管理有限公司旗下</w:t>
      </w:r>
      <w:r>
        <w:rPr>
          <w:rFonts w:ascii="Times New Roman" w:eastAsia="宋体" w:hAnsi="Times New Roman" w:hint="eastAsia"/>
          <w:color w:val="000000" w:themeColor="text1"/>
          <w:sz w:val="24"/>
          <w:szCs w:val="24"/>
        </w:rPr>
        <w:t>96</w:t>
      </w:r>
      <w:r>
        <w:rPr>
          <w:rFonts w:ascii="Times New Roman" w:eastAsia="宋体" w:hAnsi="Times New Roman" w:hint="eastAsia"/>
          <w:color w:val="000000" w:themeColor="text1"/>
          <w:sz w:val="24"/>
          <w:szCs w:val="24"/>
        </w:rPr>
        <w:t>只基金（基金列表详见附件）的</w:t>
      </w: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年第二季度报告</w:t>
      </w:r>
      <w:r>
        <w:rPr>
          <w:rFonts w:ascii="Times New Roman" w:eastAsia="宋体" w:hAnsi="Times New Roman"/>
          <w:color w:val="000000" w:themeColor="text1"/>
          <w:sz w:val="24"/>
          <w:szCs w:val="24"/>
        </w:rPr>
        <w:t>全文</w:t>
      </w:r>
      <w:r>
        <w:rPr>
          <w:rFonts w:ascii="Times New Roman" w:eastAsia="宋体" w:hAnsi="Times New Roman" w:hint="eastAsia"/>
          <w:color w:val="000000" w:themeColor="text1"/>
          <w:sz w:val="24"/>
          <w:szCs w:val="24"/>
        </w:rPr>
        <w:t>于</w:t>
      </w: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w:t>
      </w:r>
      <w:r>
        <w:rPr>
          <w:rFonts w:ascii="Times New Roman" w:eastAsia="宋体" w:hAnsi="Times New Roman" w:hint="eastAsia"/>
          <w:color w:val="000000" w:themeColor="text1"/>
          <w:sz w:val="24"/>
          <w:szCs w:val="24"/>
        </w:rPr>
        <w:t>7</w:t>
      </w:r>
      <w:r>
        <w:rPr>
          <w:rFonts w:ascii="Times New Roman" w:eastAsia="宋体" w:hAnsi="Times New Roman" w:hint="eastAsia"/>
          <w:color w:val="000000" w:themeColor="text1"/>
          <w:sz w:val="24"/>
          <w:szCs w:val="24"/>
        </w:rPr>
        <w:t>月</w:t>
      </w:r>
      <w:r>
        <w:rPr>
          <w:rFonts w:ascii="Times New Roman" w:eastAsia="宋体" w:hAnsi="Times New Roman" w:hint="eastAsia"/>
          <w:color w:val="000000" w:themeColor="text1"/>
          <w:sz w:val="24"/>
          <w:szCs w:val="24"/>
        </w:rPr>
        <w:t>21</w:t>
      </w:r>
      <w:r>
        <w:rPr>
          <w:rFonts w:ascii="Times New Roman" w:eastAsia="宋体" w:hAnsi="Times New Roman" w:hint="eastAsia"/>
          <w:color w:val="000000" w:themeColor="text1"/>
          <w:sz w:val="24"/>
          <w:szCs w:val="24"/>
        </w:rPr>
        <w:t>日在</w:t>
      </w:r>
      <w:r>
        <w:rPr>
          <w:rFonts w:ascii="Times New Roman" w:eastAsia="宋体" w:hAnsi="Times New Roman"/>
          <w:color w:val="000000" w:themeColor="text1"/>
          <w:sz w:val="24"/>
          <w:szCs w:val="24"/>
        </w:rPr>
        <w:t>本公司网站</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www.hftfund.com</w:t>
      </w:r>
      <w:r>
        <w:rPr>
          <w:rFonts w:ascii="Times New Roman" w:eastAsia="宋体" w:hAnsi="Times New Roman" w:hint="eastAsia"/>
          <w:color w:val="000000" w:themeColor="text1"/>
          <w:sz w:val="24"/>
          <w:szCs w:val="24"/>
        </w:rPr>
        <w:t>）</w:t>
      </w:r>
      <w:r>
        <w:rPr>
          <w:rFonts w:ascii="Times New Roman" w:eastAsia="宋体" w:hAnsi="Times New Roman"/>
          <w:color w:val="000000" w:themeColor="text1"/>
          <w:sz w:val="24"/>
          <w:szCs w:val="24"/>
        </w:rPr>
        <w:t>和中国证监会</w:t>
      </w:r>
      <w:r>
        <w:rPr>
          <w:rFonts w:ascii="Times New Roman" w:eastAsia="宋体" w:hAnsi="Times New Roman" w:hint="eastAsia"/>
          <w:color w:val="000000" w:themeColor="text1"/>
          <w:sz w:val="24"/>
          <w:szCs w:val="24"/>
        </w:rPr>
        <w:t>基金</w:t>
      </w:r>
      <w:r>
        <w:rPr>
          <w:rFonts w:ascii="Times New Roman" w:eastAsia="宋体" w:hAnsi="Times New Roman"/>
          <w:color w:val="000000" w:themeColor="text1"/>
          <w:sz w:val="24"/>
          <w:szCs w:val="24"/>
        </w:rPr>
        <w:t>电子披露网站</w:t>
      </w:r>
      <w:r>
        <w:rPr>
          <w:rFonts w:ascii="Times New Roman" w:eastAsia="宋体" w:hAnsi="Times New Roman" w:hint="eastAsia"/>
          <w:color w:val="000000" w:themeColor="text1"/>
          <w:sz w:val="24"/>
          <w:szCs w:val="24"/>
        </w:rPr>
        <w:t>（</w:t>
      </w:r>
      <w:hyperlink r:id="rId7" w:history="1">
        <w:r>
          <w:rPr>
            <w:rFonts w:ascii="Times New Roman" w:eastAsia="宋体" w:hAnsi="Times New Roman" w:hint="eastAsia"/>
            <w:color w:val="000000" w:themeColor="text1"/>
            <w:sz w:val="24"/>
            <w:szCs w:val="24"/>
          </w:rPr>
          <w:t>http://eid.csrc.gov.cn/fund</w:t>
        </w:r>
      </w:hyperlink>
      <w:r>
        <w:rPr>
          <w:rFonts w:ascii="Times New Roman" w:eastAsia="宋体" w:hAnsi="Times New Roman" w:hint="eastAsia"/>
          <w:color w:val="000000" w:themeColor="text1"/>
          <w:sz w:val="24"/>
          <w:szCs w:val="24"/>
        </w:rPr>
        <w:t>）</w:t>
      </w:r>
      <w:r>
        <w:rPr>
          <w:rFonts w:ascii="Times New Roman" w:eastAsia="宋体" w:hAnsi="Times New Roman"/>
          <w:color w:val="000000" w:themeColor="text1"/>
          <w:sz w:val="24"/>
          <w:szCs w:val="24"/>
        </w:rPr>
        <w:t>披露，供投资者查阅。</w:t>
      </w:r>
      <w:r>
        <w:rPr>
          <w:rFonts w:ascii="Times New Roman" w:eastAsia="宋体" w:hAnsi="Times New Roman" w:hint="eastAsia"/>
          <w:color w:val="000000" w:themeColor="text1"/>
          <w:sz w:val="24"/>
          <w:szCs w:val="24"/>
        </w:rPr>
        <w:t>如有疑问可拨打本公司客服电话</w:t>
      </w:r>
      <w:r>
        <w:rPr>
          <w:rFonts w:ascii="Times New Roman" w:eastAsia="宋体" w:hAnsi="Times New Roman"/>
          <w:color w:val="000000" w:themeColor="text1"/>
          <w:sz w:val="24"/>
          <w:szCs w:val="24"/>
        </w:rPr>
        <w:t>（</w:t>
      </w:r>
      <w:r>
        <w:rPr>
          <w:rFonts w:ascii="Times New Roman" w:eastAsia="宋体" w:hAnsi="Times New Roman"/>
          <w:color w:val="000000" w:themeColor="text1"/>
          <w:sz w:val="24"/>
          <w:szCs w:val="24"/>
        </w:rPr>
        <w:t>40088-40099</w:t>
      </w:r>
      <w:r>
        <w:rPr>
          <w:rFonts w:ascii="Times New Roman" w:eastAsia="宋体" w:hAnsi="Times New Roman"/>
          <w:color w:val="000000" w:themeColor="text1"/>
          <w:sz w:val="24"/>
          <w:szCs w:val="24"/>
        </w:rPr>
        <w:t>）</w:t>
      </w:r>
      <w:r>
        <w:rPr>
          <w:rFonts w:ascii="Times New Roman" w:eastAsia="宋体" w:hAnsi="Times New Roman" w:hint="eastAsia"/>
          <w:color w:val="000000" w:themeColor="text1"/>
          <w:sz w:val="24"/>
          <w:szCs w:val="24"/>
        </w:rPr>
        <w:t>咨询</w:t>
      </w:r>
      <w:r>
        <w:rPr>
          <w:rFonts w:ascii="Times New Roman" w:eastAsia="宋体" w:hAnsi="Times New Roman"/>
          <w:color w:val="000000" w:themeColor="text1"/>
          <w:sz w:val="24"/>
          <w:szCs w:val="24"/>
        </w:rPr>
        <w:t>。</w:t>
      </w:r>
    </w:p>
    <w:p w:rsidR="00180A10" w:rsidRDefault="00A018AF">
      <w:pPr>
        <w:spacing w:line="540" w:lineRule="exact"/>
        <w:ind w:firstLineChars="250" w:firstLine="60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180A10" w:rsidRDefault="00A018AF">
      <w:pPr>
        <w:spacing w:line="540" w:lineRule="exact"/>
        <w:ind w:firstLineChars="250" w:firstLine="60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特此公告。</w:t>
      </w:r>
    </w:p>
    <w:p w:rsidR="00180A10" w:rsidRDefault="00180A10">
      <w:pPr>
        <w:spacing w:line="540" w:lineRule="exact"/>
        <w:ind w:firstLineChars="250" w:firstLine="600"/>
        <w:rPr>
          <w:rFonts w:ascii="Times New Roman" w:eastAsia="宋体" w:hAnsi="Times New Roman"/>
          <w:color w:val="000000" w:themeColor="text1"/>
          <w:sz w:val="24"/>
          <w:szCs w:val="24"/>
        </w:rPr>
      </w:pPr>
    </w:p>
    <w:p w:rsidR="00180A10" w:rsidRDefault="00180A10">
      <w:pPr>
        <w:spacing w:line="540" w:lineRule="exact"/>
        <w:ind w:firstLineChars="250" w:firstLine="600"/>
        <w:rPr>
          <w:rFonts w:ascii="Times New Roman" w:eastAsia="宋体" w:hAnsi="Times New Roman"/>
          <w:color w:val="000000" w:themeColor="text1"/>
          <w:sz w:val="24"/>
          <w:szCs w:val="24"/>
        </w:rPr>
      </w:pPr>
    </w:p>
    <w:p w:rsidR="00180A10" w:rsidRDefault="00A018AF">
      <w:pPr>
        <w:spacing w:line="540" w:lineRule="exact"/>
        <w:ind w:firstLineChars="250" w:firstLine="600"/>
        <w:jc w:val="righ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海富通基金管理有限公司</w:t>
      </w:r>
    </w:p>
    <w:p w:rsidR="00180A10" w:rsidRDefault="00A018AF">
      <w:pPr>
        <w:spacing w:line="540" w:lineRule="exact"/>
        <w:ind w:firstLineChars="250" w:firstLine="600"/>
        <w:jc w:val="righ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w:t>
      </w:r>
      <w:r>
        <w:rPr>
          <w:rFonts w:ascii="Times New Roman" w:eastAsia="宋体" w:hAnsi="Times New Roman" w:hint="eastAsia"/>
          <w:color w:val="000000" w:themeColor="text1"/>
          <w:sz w:val="24"/>
          <w:szCs w:val="24"/>
        </w:rPr>
        <w:t>7</w:t>
      </w:r>
      <w:r>
        <w:rPr>
          <w:rFonts w:ascii="Times New Roman" w:eastAsia="宋体" w:hAnsi="Times New Roman" w:hint="eastAsia"/>
          <w:color w:val="000000" w:themeColor="text1"/>
          <w:sz w:val="24"/>
          <w:szCs w:val="24"/>
        </w:rPr>
        <w:t>月</w:t>
      </w:r>
      <w:r>
        <w:rPr>
          <w:rFonts w:ascii="Times New Roman" w:eastAsia="宋体" w:hAnsi="Times New Roman" w:hint="eastAsia"/>
          <w:color w:val="000000" w:themeColor="text1"/>
          <w:sz w:val="24"/>
          <w:szCs w:val="24"/>
        </w:rPr>
        <w:t>21</w:t>
      </w:r>
      <w:r>
        <w:rPr>
          <w:rFonts w:ascii="Times New Roman" w:eastAsia="宋体" w:hAnsi="Times New Roman" w:hint="eastAsia"/>
          <w:color w:val="000000" w:themeColor="text1"/>
          <w:sz w:val="24"/>
          <w:szCs w:val="24"/>
        </w:rPr>
        <w:t>日</w:t>
      </w:r>
    </w:p>
    <w:p w:rsidR="00180A10" w:rsidRDefault="00180A10">
      <w:pPr>
        <w:spacing w:line="540" w:lineRule="exact"/>
        <w:ind w:firstLineChars="250" w:firstLine="600"/>
        <w:jc w:val="right"/>
        <w:rPr>
          <w:rFonts w:ascii="Times New Roman" w:eastAsia="宋体" w:hAnsi="Times New Roman"/>
          <w:color w:val="000000" w:themeColor="text1"/>
          <w:sz w:val="24"/>
          <w:szCs w:val="24"/>
        </w:rPr>
      </w:pPr>
    </w:p>
    <w:p w:rsidR="00180A10" w:rsidRDefault="00180A10">
      <w:pPr>
        <w:spacing w:line="540" w:lineRule="exact"/>
        <w:ind w:firstLineChars="250" w:firstLine="600"/>
        <w:jc w:val="right"/>
        <w:rPr>
          <w:rFonts w:ascii="Times New Roman" w:eastAsia="宋体" w:hAnsi="Times New Roman"/>
          <w:color w:val="000000" w:themeColor="text1"/>
          <w:sz w:val="24"/>
          <w:szCs w:val="24"/>
        </w:rPr>
      </w:pPr>
    </w:p>
    <w:p w:rsidR="00180A10" w:rsidRDefault="00180A10">
      <w:pPr>
        <w:spacing w:line="540" w:lineRule="exact"/>
        <w:ind w:firstLineChars="250" w:firstLine="600"/>
        <w:jc w:val="right"/>
        <w:rPr>
          <w:rFonts w:ascii="Times New Roman" w:eastAsia="宋体" w:hAnsi="Times New Roman"/>
          <w:color w:val="000000" w:themeColor="text1"/>
          <w:sz w:val="24"/>
          <w:szCs w:val="24"/>
        </w:rPr>
      </w:pPr>
    </w:p>
    <w:p w:rsidR="00180A10" w:rsidRDefault="00A018AF">
      <w:pPr>
        <w:widowControl/>
        <w:jc w:val="lef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br w:type="page"/>
      </w:r>
    </w:p>
    <w:p w:rsidR="00180A10" w:rsidRDefault="00A018AF">
      <w:pPr>
        <w:spacing w:line="540" w:lineRule="exact"/>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w:t>
      </w:r>
      <w:r>
        <w:rPr>
          <w:rFonts w:ascii="Times New Roman" w:eastAsia="宋体" w:hAnsi="Times New Roman" w:hint="eastAsia"/>
          <w:color w:val="000000" w:themeColor="text1"/>
          <w:sz w:val="24"/>
          <w:szCs w:val="24"/>
        </w:rPr>
        <w:t>96</w:t>
      </w:r>
      <w:r>
        <w:rPr>
          <w:rFonts w:ascii="Times New Roman" w:eastAsia="宋体" w:hAnsi="Times New Roman" w:hint="eastAsia"/>
          <w:color w:val="000000" w:themeColor="text1"/>
          <w:sz w:val="24"/>
          <w:szCs w:val="24"/>
        </w:rPr>
        <w:t>只基金列表</w:t>
      </w:r>
    </w:p>
    <w:tbl>
      <w:tblPr>
        <w:tblW w:w="9006" w:type="dxa"/>
        <w:jc w:val="center"/>
        <w:tblLook w:val="04A0"/>
      </w:tblPr>
      <w:tblGrid>
        <w:gridCol w:w="700"/>
        <w:gridCol w:w="1180"/>
        <w:gridCol w:w="3120"/>
        <w:gridCol w:w="4006"/>
      </w:tblGrid>
      <w:tr w:rsidR="00180A10">
        <w:trPr>
          <w:trHeight w:val="270"/>
          <w:jc w:val="center"/>
        </w:trPr>
        <w:tc>
          <w:tcPr>
            <w:tcW w:w="700" w:type="dxa"/>
            <w:tcBorders>
              <w:top w:val="single" w:sz="4" w:space="0" w:color="auto"/>
              <w:left w:val="single" w:sz="4" w:space="0" w:color="auto"/>
              <w:bottom w:val="single" w:sz="4" w:space="0" w:color="auto"/>
              <w:right w:val="single" w:sz="4" w:space="0" w:color="auto"/>
            </w:tcBorders>
            <w:noWrap/>
            <w:vAlign w:val="center"/>
          </w:tcPr>
          <w:p w:rsidR="00180A10" w:rsidRDefault="00A018AF">
            <w:pPr>
              <w:widowControl/>
              <w:jc w:val="center"/>
              <w:rPr>
                <w:rFonts w:ascii="Times New Roman" w:eastAsia="宋体" w:hAnsi="Times New Roman" w:cs="宋体"/>
                <w:b/>
                <w:bCs/>
                <w:color w:val="000000"/>
                <w:kern w:val="0"/>
                <w:sz w:val="22"/>
              </w:rPr>
            </w:pPr>
            <w:r>
              <w:rPr>
                <w:rFonts w:ascii="Times New Roman" w:eastAsia="宋体" w:hAnsi="Times New Roman" w:cs="宋体" w:hint="eastAsia"/>
                <w:b/>
                <w:bCs/>
                <w:color w:val="000000"/>
                <w:kern w:val="0"/>
                <w:sz w:val="22"/>
              </w:rPr>
              <w:t>序号</w:t>
            </w:r>
          </w:p>
        </w:tc>
        <w:tc>
          <w:tcPr>
            <w:tcW w:w="1180" w:type="dxa"/>
            <w:tcBorders>
              <w:top w:val="single" w:sz="4" w:space="0" w:color="auto"/>
              <w:left w:val="nil"/>
              <w:bottom w:val="single" w:sz="4" w:space="0" w:color="auto"/>
              <w:right w:val="single" w:sz="4" w:space="0" w:color="auto"/>
            </w:tcBorders>
            <w:noWrap/>
            <w:vAlign w:val="center"/>
          </w:tcPr>
          <w:p w:rsidR="00180A10" w:rsidRDefault="00A018AF">
            <w:pPr>
              <w:widowControl/>
              <w:jc w:val="center"/>
              <w:rPr>
                <w:rFonts w:ascii="Times New Roman" w:eastAsia="宋体" w:hAnsi="Times New Roman" w:cs="宋体"/>
                <w:b/>
                <w:bCs/>
                <w:color w:val="000000"/>
                <w:kern w:val="0"/>
                <w:sz w:val="22"/>
              </w:rPr>
            </w:pPr>
            <w:r>
              <w:rPr>
                <w:rFonts w:ascii="Times New Roman" w:eastAsia="宋体" w:hAnsi="Times New Roman" w:cs="宋体" w:hint="eastAsia"/>
                <w:b/>
                <w:bCs/>
                <w:color w:val="000000"/>
                <w:kern w:val="0"/>
                <w:sz w:val="22"/>
              </w:rPr>
              <w:t>产品代码</w:t>
            </w:r>
          </w:p>
        </w:tc>
        <w:tc>
          <w:tcPr>
            <w:tcW w:w="7126" w:type="dxa"/>
            <w:gridSpan w:val="2"/>
            <w:tcBorders>
              <w:top w:val="single" w:sz="4" w:space="0" w:color="auto"/>
              <w:left w:val="nil"/>
              <w:bottom w:val="single" w:sz="4" w:space="0" w:color="auto"/>
              <w:right w:val="single" w:sz="4" w:space="0" w:color="auto"/>
            </w:tcBorders>
            <w:noWrap/>
            <w:vAlign w:val="center"/>
          </w:tcPr>
          <w:p w:rsidR="00180A10" w:rsidRDefault="00A018AF">
            <w:pPr>
              <w:widowControl/>
              <w:jc w:val="left"/>
              <w:rPr>
                <w:rFonts w:ascii="Times New Roman" w:eastAsia="宋体" w:hAnsi="Times New Roman" w:cs="宋体"/>
                <w:b/>
                <w:bCs/>
                <w:color w:val="000000"/>
                <w:kern w:val="0"/>
                <w:sz w:val="22"/>
              </w:rPr>
            </w:pPr>
            <w:r>
              <w:rPr>
                <w:rFonts w:ascii="Times New Roman" w:eastAsia="宋体" w:hAnsi="Times New Roman" w:cs="宋体" w:hint="eastAsia"/>
                <w:b/>
                <w:bCs/>
                <w:color w:val="000000"/>
                <w:kern w:val="0"/>
                <w:sz w:val="22"/>
              </w:rPr>
              <w:t>产品名称</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004264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海富通瑞合纯债债券型证券投资基金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004512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海富通沪深</w:t>
            </w:r>
            <w:r>
              <w:rPr>
                <w:rFonts w:ascii="Times New Roman" w:hAnsi="Times New Roman" w:cs="宋体" w:hint="eastAsia"/>
                <w:color w:val="000000"/>
                <w:kern w:val="0"/>
                <w:sz w:val="22"/>
              </w:rPr>
              <w:t>300</w:t>
            </w:r>
            <w:r>
              <w:rPr>
                <w:rFonts w:ascii="Times New Roman" w:hAnsi="Times New Roman" w:cs="宋体" w:hint="eastAsia"/>
                <w:color w:val="000000"/>
                <w:kern w:val="0"/>
                <w:sz w:val="22"/>
              </w:rPr>
              <w:t>指数增强型证券投资基金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004770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海富通添益货币市场基金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005188</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海富通量化前锋股票型证券投资基金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005220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海富通聚优精选混合型基金中基金（</w:t>
            </w:r>
            <w:r>
              <w:rPr>
                <w:rFonts w:ascii="Times New Roman" w:hAnsi="Times New Roman" w:cs="宋体" w:hint="eastAsia"/>
                <w:color w:val="000000"/>
                <w:kern w:val="0"/>
                <w:sz w:val="22"/>
              </w:rPr>
              <w:t>FOF</w:t>
            </w:r>
            <w:r>
              <w:rPr>
                <w:rFonts w:ascii="Times New Roman" w:hAnsi="Times New Roman" w:cs="宋体" w:hint="eastAsia"/>
                <w:color w:val="000000"/>
                <w:kern w:val="0"/>
                <w:sz w:val="22"/>
              </w:rPr>
              <w:t>）</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005277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海富通融丰定期开放债券型发起式证券投资基金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005287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海富通创业板综指增强型发起式证券投资基金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005485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海富通恒丰定期开放债券型发起式证券投资基金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005842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海富通弘丰定期开放债券型发起式证券投资基金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006080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海富通电子信息传媒产业股票型证券投资基金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006219</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海富通鼎丰定期开放债券型发起式证券投资基金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006481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海富通上海清算所中高等级短期融资券指数证券投资基金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006556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海富通研究精选混合型证券投资基金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007090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海富通稳健养老目标一年持有期混合型发起式基金中基金（</w:t>
            </w:r>
            <w:r>
              <w:rPr>
                <w:rFonts w:ascii="Times New Roman" w:hAnsi="Times New Roman" w:cs="宋体" w:hint="eastAsia"/>
                <w:color w:val="000000"/>
                <w:kern w:val="0"/>
                <w:sz w:val="22"/>
              </w:rPr>
              <w:t>FOF</w:t>
            </w:r>
            <w:r>
              <w:rPr>
                <w:rFonts w:ascii="Times New Roman" w:hAnsi="Times New Roman" w:cs="宋体" w:hint="eastAsia"/>
                <w:color w:val="000000"/>
                <w:kern w:val="0"/>
                <w:sz w:val="22"/>
              </w:rPr>
              <w:t>）</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162307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w:t>
            </w:r>
            <w:r>
              <w:rPr>
                <w:rFonts w:ascii="Times New Roman" w:hAnsi="Times New Roman" w:cs="宋体" w:hint="eastAsia"/>
                <w:color w:val="000000"/>
                <w:kern w:val="0"/>
                <w:sz w:val="22"/>
              </w:rPr>
              <w:t>100</w:t>
            </w:r>
            <w:r>
              <w:rPr>
                <w:rFonts w:ascii="Times New Roman" w:hAnsi="Times New Roman" w:cs="宋体" w:hint="eastAsia"/>
                <w:color w:val="000000"/>
                <w:kern w:val="0"/>
                <w:sz w:val="22"/>
              </w:rPr>
              <w:t>指数证券投资基金（</w:t>
            </w:r>
            <w:r>
              <w:rPr>
                <w:rFonts w:ascii="Times New Roman" w:hAnsi="Times New Roman" w:cs="宋体" w:hint="eastAsia"/>
                <w:color w:val="000000"/>
                <w:kern w:val="0"/>
                <w:sz w:val="22"/>
              </w:rPr>
              <w:t>LOF</w:t>
            </w:r>
            <w:r>
              <w:rPr>
                <w:rFonts w:ascii="Times New Roman" w:hAnsi="Times New Roman" w:cs="宋体" w:hint="eastAsia"/>
                <w:color w:val="000000"/>
                <w:kern w:val="0"/>
                <w:sz w:val="22"/>
              </w:rPr>
              <w:t>）</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501300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海富通全球美元收益债券型证券投资基金（</w:t>
            </w:r>
            <w:r>
              <w:rPr>
                <w:rFonts w:ascii="Times New Roman" w:hAnsi="Times New Roman" w:cs="宋体" w:hint="eastAsia"/>
                <w:color w:val="000000"/>
                <w:kern w:val="0"/>
                <w:sz w:val="22"/>
              </w:rPr>
              <w:t>LOF</w:t>
            </w:r>
            <w:r>
              <w:rPr>
                <w:rFonts w:ascii="Times New Roman" w:hAnsi="Times New Roman" w:cs="宋体" w:hint="eastAsia"/>
                <w:color w:val="000000"/>
                <w:kern w:val="0"/>
                <w:sz w:val="22"/>
              </w:rPr>
              <w:t>）</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511220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上证城投债交易型开放式指数证券投资基金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511270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上证</w:t>
            </w:r>
            <w:r>
              <w:rPr>
                <w:rFonts w:ascii="Times New Roman" w:hAnsi="Times New Roman" w:cs="宋体" w:hint="eastAsia"/>
                <w:color w:val="000000"/>
                <w:kern w:val="0"/>
                <w:sz w:val="22"/>
              </w:rPr>
              <w:t>10</w:t>
            </w:r>
            <w:r>
              <w:rPr>
                <w:rFonts w:ascii="Times New Roman" w:hAnsi="Times New Roman" w:cs="宋体" w:hint="eastAsia"/>
                <w:color w:val="000000"/>
                <w:kern w:val="0"/>
                <w:sz w:val="22"/>
              </w:rPr>
              <w:t>年期地方政府债交易型开放式指数证券投资基金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19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519003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海富通收益增长证券投资基金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519005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海富通股票混合型证券投资基金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519007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海富通强化回报混合型证券投资基金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519011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海富通精选证券投资基金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519013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海富通风格优势混合型证券投资基金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519015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海富通精选贰号混合型证券投资基金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519023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海富通稳健添利债券型证券投资基金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519025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海富通领先成长混合型证券投资基金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519026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海富通中小盘混合型证券投资基金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519030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海富通稳固收益债券型证券投资基金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29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519033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海富通国策导向混合型证券投资基金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519034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w:t>
            </w:r>
            <w:r>
              <w:rPr>
                <w:rFonts w:ascii="Times New Roman" w:hAnsi="Times New Roman" w:cs="宋体" w:hint="eastAsia"/>
                <w:color w:val="000000"/>
                <w:kern w:val="0"/>
                <w:sz w:val="22"/>
              </w:rPr>
              <w:t>500</w:t>
            </w:r>
            <w:r>
              <w:rPr>
                <w:rFonts w:ascii="Times New Roman" w:hAnsi="Times New Roman" w:cs="宋体" w:hint="eastAsia"/>
                <w:color w:val="000000"/>
                <w:kern w:val="0"/>
                <w:sz w:val="22"/>
              </w:rPr>
              <w:t>指数增强型证券投资基金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519050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海富通安颐收益混合型证券投资基金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519051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海富通一年定期开放债券型证券投资基金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519056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海富通内需热点混合型证券投资基金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519060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海富通纯债债券型证券投资基金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519062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海富通阿尔法对冲混合型发起式证券投资基金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519130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海富通新内需灵活配置混合型证券投资基金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519133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海富通改革驱动灵活配置混合型证券投资基金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38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519136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海富通瑞丰债券型证券投资基金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lastRenderedPageBreak/>
              <w:t>39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519137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海富通瑞福债券型证券投资基金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519138</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海富通瑞祥一年定期开放债券型证券投资基金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519139</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海富通沪港深灵活配置混合型证券投资基金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519220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海富通聚利纯债债券型证券投资基金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519221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海富通欣益灵活配置混合型证券投资基金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519223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海富通欣荣灵活配置混合型证券投资基金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519225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海富通集利纯债债券型证券投资基金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519226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海富通瑞利纯债债券型证券投资基金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519228</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海富通欣享灵活配置混合型证券投资基金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519505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海富通货币市场证券投资基金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49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519601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海富通中国海外精选混合型证券投资基金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007226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海富通中短债债券型证券投资基金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007037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海富通聚合纯债债券型证券投资基金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511060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海富通上证</w:t>
            </w:r>
            <w:r>
              <w:rPr>
                <w:rFonts w:ascii="Times New Roman" w:hAnsi="Times New Roman" w:cs="宋体" w:hint="eastAsia"/>
                <w:color w:val="000000"/>
                <w:kern w:val="0"/>
                <w:sz w:val="22"/>
              </w:rPr>
              <w:t>5</w:t>
            </w:r>
            <w:r>
              <w:rPr>
                <w:rFonts w:ascii="Times New Roman" w:hAnsi="Times New Roman" w:cs="宋体" w:hint="eastAsia"/>
                <w:color w:val="000000"/>
                <w:kern w:val="0"/>
                <w:sz w:val="22"/>
              </w:rPr>
              <w:t>年期地方政府债交易型开放式指数证券投资基金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008084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海富通先进制造股票型证券投资基金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008231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海富通裕通</w:t>
            </w:r>
            <w:r>
              <w:rPr>
                <w:rFonts w:ascii="Times New Roman" w:hAnsi="Times New Roman" w:cs="宋体" w:hint="eastAsia"/>
                <w:color w:val="000000"/>
                <w:kern w:val="0"/>
                <w:sz w:val="22"/>
              </w:rPr>
              <w:t>30</w:t>
            </w:r>
            <w:r>
              <w:rPr>
                <w:rFonts w:ascii="Times New Roman" w:hAnsi="Times New Roman" w:cs="宋体" w:hint="eastAsia"/>
                <w:color w:val="000000"/>
                <w:kern w:val="0"/>
                <w:sz w:val="22"/>
              </w:rPr>
              <w:t>个月定期开放债券型证券投资基金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008830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海富通安益对冲策略灵活配置混合型证券投资基金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007747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海富通平衡养老目标三年持有期混合型发起式基金中基金（</w:t>
            </w:r>
            <w:r>
              <w:rPr>
                <w:rFonts w:ascii="Times New Roman" w:hAnsi="Times New Roman" w:cs="宋体" w:hint="eastAsia"/>
                <w:color w:val="000000"/>
                <w:kern w:val="0"/>
                <w:sz w:val="22"/>
              </w:rPr>
              <w:t>FOF</w:t>
            </w:r>
            <w:r>
              <w:rPr>
                <w:rFonts w:ascii="Times New Roman" w:hAnsi="Times New Roman" w:cs="宋体" w:hint="eastAsia"/>
                <w:color w:val="000000"/>
                <w:kern w:val="0"/>
                <w:sz w:val="22"/>
              </w:rPr>
              <w:t>）</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009024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海富通科技创新混合型证券投资基金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008032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海富通裕昇三年定期开放债券型证券投资基金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59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008803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海富通瑞弘</w:t>
            </w:r>
            <w:r>
              <w:rPr>
                <w:rFonts w:ascii="Times New Roman" w:hAnsi="Times New Roman" w:cs="宋体" w:hint="eastAsia"/>
                <w:color w:val="000000"/>
                <w:kern w:val="0"/>
                <w:sz w:val="22"/>
              </w:rPr>
              <w:t>6</w:t>
            </w:r>
            <w:r>
              <w:rPr>
                <w:rFonts w:ascii="Times New Roman" w:hAnsi="Times New Roman" w:cs="宋体" w:hint="eastAsia"/>
                <w:color w:val="000000"/>
                <w:kern w:val="0"/>
                <w:sz w:val="22"/>
              </w:rPr>
              <w:t>个月定期开放债券型证券投资基金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009154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海富通富盈混合型证券投资基金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009156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海富通富泽混合型证券投资基金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511180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海富通上证投资级可转债及可交换债券交易型开放式指数证券投资基金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511360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海富通中证短融交易型开放式指数证券投资基金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009651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海富通成长甄选混合型证券投资基金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010220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海富通消费核心资产混合型证券投资基金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010286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海富通成长价值混合型证券投资基金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010790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海富通均衡甄选混合型证券投资基金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010657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海富通欣睿混合型证券投资基金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69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010421</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海富通消费优选混合型证券投资基金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010262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海富通中债</w:t>
            </w:r>
            <w:r>
              <w:rPr>
                <w:rFonts w:ascii="Times New Roman" w:hAnsi="Times New Roman" w:cs="宋体" w:hint="eastAsia"/>
                <w:color w:val="000000"/>
                <w:kern w:val="0"/>
                <w:sz w:val="22"/>
              </w:rPr>
              <w:t>1-3</w:t>
            </w:r>
            <w:r>
              <w:rPr>
                <w:rFonts w:ascii="Times New Roman" w:hAnsi="Times New Roman" w:cs="宋体" w:hint="eastAsia"/>
                <w:color w:val="000000"/>
                <w:kern w:val="0"/>
                <w:sz w:val="22"/>
              </w:rPr>
              <w:t>年农发行债券指数证券投资基金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010260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海富通策略收益债券型证券投资基金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513860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海富通中证港股通科技交易型开放式指数证券投资基金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011115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海富通利率债债券型证券投资基金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010850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海富通富利三个月持有期混合型证券投资基金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012012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海富通瑞兴</w:t>
            </w:r>
            <w:r>
              <w:rPr>
                <w:rFonts w:ascii="Times New Roman" w:hAnsi="Times New Roman" w:cs="宋体" w:hint="eastAsia"/>
                <w:color w:val="000000"/>
                <w:kern w:val="0"/>
                <w:sz w:val="22"/>
              </w:rPr>
              <w:t>3</w:t>
            </w:r>
            <w:r>
              <w:rPr>
                <w:rFonts w:ascii="Times New Roman" w:hAnsi="Times New Roman" w:cs="宋体" w:hint="eastAsia"/>
                <w:color w:val="000000"/>
                <w:kern w:val="0"/>
                <w:sz w:val="22"/>
              </w:rPr>
              <w:t>个月定期开放债券型证券投资基金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011554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海富通欣利混合型证券投资基金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013175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海富通碳中和主题混合型证券投资基金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012410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海富通成长领航混合型证券投资基金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79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013253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海富通养老目标日期</w:t>
            </w:r>
            <w:r>
              <w:rPr>
                <w:rFonts w:ascii="Times New Roman" w:hAnsi="Times New Roman" w:cs="宋体" w:hint="eastAsia"/>
                <w:color w:val="000000"/>
                <w:kern w:val="0"/>
                <w:sz w:val="22"/>
              </w:rPr>
              <w:t>2035</w:t>
            </w:r>
            <w:r>
              <w:rPr>
                <w:rFonts w:ascii="Times New Roman" w:hAnsi="Times New Roman" w:cs="宋体" w:hint="eastAsia"/>
                <w:color w:val="000000"/>
                <w:kern w:val="0"/>
                <w:sz w:val="22"/>
              </w:rPr>
              <w:t>三年持有期混合型发起式基金中基金（</w:t>
            </w:r>
            <w:r>
              <w:rPr>
                <w:rFonts w:ascii="Times New Roman" w:hAnsi="Times New Roman" w:cs="宋体" w:hint="eastAsia"/>
                <w:color w:val="000000"/>
                <w:kern w:val="0"/>
                <w:sz w:val="22"/>
              </w:rPr>
              <w:t>FOF</w:t>
            </w:r>
            <w:r>
              <w:rPr>
                <w:rFonts w:ascii="Times New Roman" w:hAnsi="Times New Roman" w:cs="宋体" w:hint="eastAsia"/>
                <w:color w:val="000000"/>
                <w:kern w:val="0"/>
                <w:sz w:val="22"/>
              </w:rPr>
              <w:t>）</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80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012843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海富通恒益金融债一年定期开放债券型发起式证券投资基金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cs="宋体"/>
                <w:color w:val="000000"/>
                <w:kern w:val="0"/>
                <w:sz w:val="22"/>
              </w:rPr>
            </w:pPr>
            <w:r>
              <w:rPr>
                <w:rFonts w:ascii="Times New Roman" w:hAnsi="Times New Roman"/>
              </w:rPr>
              <w:t>81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w:t>
            </w:r>
            <w:r>
              <w:rPr>
                <w:rFonts w:ascii="Times New Roman" w:hAnsi="Times New Roman" w:cs="宋体"/>
                <w:color w:val="000000"/>
                <w:kern w:val="0"/>
                <w:sz w:val="22"/>
              </w:rPr>
              <w:t>18623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海富通盈丰一年定期开放债券型发起式证券投资基金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019038</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海富通添利收益一年持有期债券型证券投资基金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019752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海富通悦享一年持有期混合型证券投资基金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019972</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海富通产业优选混合型证券投资基金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020234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海富通瑞鑫</w:t>
            </w:r>
            <w:r>
              <w:rPr>
                <w:rFonts w:ascii="Times New Roman" w:hAnsi="Times New Roman" w:cs="宋体" w:hint="eastAsia"/>
                <w:color w:val="000000"/>
                <w:kern w:val="0"/>
                <w:sz w:val="22"/>
              </w:rPr>
              <w:t>30</w:t>
            </w:r>
            <w:r>
              <w:rPr>
                <w:rFonts w:ascii="Times New Roman" w:hAnsi="Times New Roman" w:cs="宋体" w:hint="eastAsia"/>
                <w:color w:val="000000"/>
                <w:kern w:val="0"/>
                <w:sz w:val="22"/>
              </w:rPr>
              <w:t>天持有期债券型证券投资基金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018800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海富通优势驱动混合型证券投资基金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87</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020309</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海富通中债</w:t>
            </w:r>
            <w:r>
              <w:rPr>
                <w:rFonts w:ascii="Times New Roman" w:hAnsi="Times New Roman" w:cs="宋体" w:hint="eastAsia"/>
                <w:color w:val="000000"/>
                <w:kern w:val="0"/>
                <w:sz w:val="22"/>
              </w:rPr>
              <w:t>0-2</w:t>
            </w:r>
            <w:r>
              <w:rPr>
                <w:rFonts w:ascii="Times New Roman" w:hAnsi="Times New Roman" w:cs="宋体" w:hint="eastAsia"/>
                <w:color w:val="000000"/>
                <w:kern w:val="0"/>
                <w:sz w:val="22"/>
              </w:rPr>
              <w:t>年政策性金融债指数证券投资基金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88</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159553</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w:t>
            </w:r>
            <w:r>
              <w:rPr>
                <w:rFonts w:ascii="Times New Roman" w:hAnsi="Times New Roman" w:cs="宋体" w:hint="eastAsia"/>
                <w:color w:val="000000"/>
                <w:kern w:val="0"/>
                <w:sz w:val="22"/>
              </w:rPr>
              <w:t>2000</w:t>
            </w:r>
            <w:r>
              <w:rPr>
                <w:rFonts w:ascii="Times New Roman" w:hAnsi="Times New Roman" w:cs="宋体" w:hint="eastAsia"/>
                <w:color w:val="000000"/>
                <w:kern w:val="0"/>
                <w:sz w:val="22"/>
              </w:rPr>
              <w:t>增强策略交易型开放式指数证券投资基金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89</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020695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海富通红利优选混合型证券投资基金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rPr>
              <w:t>90</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021464</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海富通中证港股通科技交易型开放式指数证券投资基金发起式联接基金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hint="eastAsia"/>
              </w:rPr>
              <w:t>91</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021655</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海富通量化选股混合型证券投资基金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hint="eastAsia"/>
              </w:rPr>
              <w:t>92</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511190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海富通上证基准做市公司债交易型开放式指数证券投资基金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hint="eastAsia"/>
              </w:rPr>
              <w:t>93</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563860</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w:t>
            </w:r>
            <w:r>
              <w:rPr>
                <w:rFonts w:ascii="Times New Roman" w:hAnsi="Times New Roman" w:cs="宋体" w:hint="eastAsia"/>
                <w:color w:val="000000"/>
                <w:kern w:val="0"/>
                <w:sz w:val="22"/>
              </w:rPr>
              <w:t>A500</w:t>
            </w:r>
            <w:r>
              <w:rPr>
                <w:rFonts w:ascii="Times New Roman" w:hAnsi="Times New Roman" w:cs="宋体" w:hint="eastAsia"/>
                <w:color w:val="000000"/>
                <w:kern w:val="0"/>
                <w:sz w:val="22"/>
              </w:rPr>
              <w:t>交易型开放式指数证券投资基金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hint="eastAsia"/>
              </w:rPr>
              <w:t>94</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018796</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海富通远见回报混合型证券投资基金</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hint="eastAsia"/>
              </w:rPr>
              <w:t>95</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023009</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海富通配置优选三个月持有期混合型基金中基金（</w:t>
            </w:r>
            <w:r>
              <w:rPr>
                <w:rFonts w:ascii="Times New Roman" w:hAnsi="Times New Roman" w:cs="宋体" w:hint="eastAsia"/>
                <w:color w:val="000000"/>
                <w:kern w:val="0"/>
                <w:sz w:val="22"/>
              </w:rPr>
              <w:t>FOF</w:t>
            </w:r>
            <w:r>
              <w:rPr>
                <w:rFonts w:ascii="Times New Roman" w:hAnsi="Times New Roman" w:cs="宋体" w:hint="eastAsia"/>
                <w:color w:val="000000"/>
                <w:kern w:val="0"/>
                <w:sz w:val="22"/>
              </w:rPr>
              <w:t>）</w:t>
            </w:r>
          </w:p>
        </w:tc>
      </w:tr>
      <w:tr w:rsidR="00180A10">
        <w:trPr>
          <w:trHeight w:val="270"/>
          <w:jc w:val="center"/>
        </w:trPr>
        <w:tc>
          <w:tcPr>
            <w:tcW w:w="700" w:type="dxa"/>
            <w:tcBorders>
              <w:top w:val="nil"/>
              <w:left w:val="single" w:sz="4" w:space="0" w:color="auto"/>
              <w:bottom w:val="single" w:sz="4" w:space="0" w:color="auto"/>
              <w:right w:val="single" w:sz="4" w:space="0" w:color="auto"/>
            </w:tcBorders>
            <w:noWrap/>
          </w:tcPr>
          <w:p w:rsidR="00180A10" w:rsidRDefault="00A018AF">
            <w:pPr>
              <w:widowControl/>
              <w:jc w:val="center"/>
              <w:rPr>
                <w:rFonts w:ascii="Times New Roman" w:hAnsi="Times New Roman"/>
                <w:sz w:val="22"/>
              </w:rPr>
            </w:pPr>
            <w:r>
              <w:rPr>
                <w:rFonts w:ascii="Times New Roman" w:hAnsi="Times New Roman" w:hint="eastAsia"/>
              </w:rPr>
              <w:t>96</w:t>
            </w:r>
          </w:p>
        </w:tc>
        <w:tc>
          <w:tcPr>
            <w:tcW w:w="1180" w:type="dxa"/>
            <w:tcBorders>
              <w:top w:val="nil"/>
              <w:left w:val="nil"/>
              <w:bottom w:val="single" w:sz="4" w:space="0" w:color="auto"/>
              <w:right w:val="single" w:sz="4" w:space="0" w:color="auto"/>
            </w:tcBorders>
            <w:noWrap/>
            <w:vAlign w:val="bottom"/>
          </w:tcPr>
          <w:p w:rsidR="00180A10" w:rsidRDefault="00A018AF">
            <w:pPr>
              <w:widowControl/>
              <w:jc w:val="center"/>
              <w:rPr>
                <w:rFonts w:ascii="Times New Roman" w:hAnsi="Times New Roman" w:cs="宋体"/>
                <w:color w:val="000000"/>
                <w:kern w:val="0"/>
                <w:sz w:val="22"/>
              </w:rPr>
            </w:pPr>
            <w:r>
              <w:rPr>
                <w:rFonts w:ascii="Times New Roman" w:hAnsi="Times New Roman" w:cs="宋体"/>
                <w:color w:val="000000"/>
                <w:kern w:val="0"/>
                <w:sz w:val="22"/>
              </w:rPr>
              <w:t>023367</w:t>
            </w:r>
          </w:p>
        </w:tc>
        <w:tc>
          <w:tcPr>
            <w:tcW w:w="7126" w:type="dxa"/>
            <w:gridSpan w:val="2"/>
            <w:tcBorders>
              <w:top w:val="nil"/>
              <w:left w:val="nil"/>
              <w:bottom w:val="single" w:sz="4" w:space="0" w:color="auto"/>
              <w:right w:val="single" w:sz="4" w:space="0" w:color="auto"/>
            </w:tcBorders>
            <w:noWrap/>
            <w:vAlign w:val="bottom"/>
          </w:tcPr>
          <w:p w:rsidR="00180A10" w:rsidRDefault="00A018AF">
            <w:pPr>
              <w:widowControl/>
              <w:jc w:val="left"/>
              <w:rPr>
                <w:rFonts w:ascii="Times New Roman" w:hAnsi="Times New Roman" w:cs="宋体"/>
                <w:color w:val="000000"/>
                <w:kern w:val="0"/>
                <w:sz w:val="22"/>
              </w:rPr>
            </w:pPr>
            <w:r>
              <w:rPr>
                <w:rFonts w:ascii="Times New Roman" w:hAnsi="Times New Roman" w:cs="宋体" w:hint="eastAsia"/>
                <w:color w:val="000000"/>
                <w:kern w:val="0"/>
                <w:sz w:val="22"/>
              </w:rPr>
              <w:t>海富通中证</w:t>
            </w:r>
            <w:r>
              <w:rPr>
                <w:rFonts w:ascii="Times New Roman" w:hAnsi="Times New Roman" w:cs="宋体" w:hint="eastAsia"/>
                <w:color w:val="000000"/>
                <w:kern w:val="0"/>
                <w:sz w:val="22"/>
              </w:rPr>
              <w:t>A500</w:t>
            </w:r>
            <w:r>
              <w:rPr>
                <w:rFonts w:ascii="Times New Roman" w:hAnsi="Times New Roman" w:cs="宋体" w:hint="eastAsia"/>
                <w:color w:val="000000"/>
                <w:kern w:val="0"/>
                <w:sz w:val="22"/>
              </w:rPr>
              <w:t>指数增强型发起式证券投资基金</w:t>
            </w:r>
          </w:p>
        </w:tc>
      </w:tr>
      <w:tr w:rsidR="00180A10">
        <w:trPr>
          <w:gridAfter w:val="1"/>
          <w:wAfter w:w="4006" w:type="dxa"/>
          <w:trHeight w:val="555"/>
          <w:jc w:val="center"/>
        </w:trPr>
        <w:tc>
          <w:tcPr>
            <w:tcW w:w="5000" w:type="dxa"/>
            <w:gridSpan w:val="3"/>
            <w:tcBorders>
              <w:top w:val="nil"/>
              <w:left w:val="nil"/>
              <w:bottom w:val="nil"/>
              <w:right w:val="nil"/>
            </w:tcBorders>
            <w:vAlign w:val="center"/>
          </w:tcPr>
          <w:p w:rsidR="00180A10" w:rsidRDefault="00180A10">
            <w:pPr>
              <w:widowControl/>
              <w:jc w:val="left"/>
              <w:rPr>
                <w:rFonts w:ascii="Times New Roman" w:eastAsia="宋体" w:hAnsi="Times New Roman" w:cs="宋体"/>
                <w:color w:val="000000"/>
                <w:kern w:val="0"/>
                <w:sz w:val="22"/>
              </w:rPr>
            </w:pPr>
          </w:p>
        </w:tc>
      </w:tr>
      <w:tr w:rsidR="00180A10">
        <w:trPr>
          <w:gridAfter w:val="1"/>
          <w:wAfter w:w="4006" w:type="dxa"/>
          <w:trHeight w:val="555"/>
          <w:jc w:val="center"/>
        </w:trPr>
        <w:tc>
          <w:tcPr>
            <w:tcW w:w="5000" w:type="dxa"/>
            <w:gridSpan w:val="3"/>
            <w:tcBorders>
              <w:top w:val="nil"/>
              <w:left w:val="nil"/>
              <w:bottom w:val="nil"/>
              <w:right w:val="nil"/>
            </w:tcBorders>
            <w:vAlign w:val="center"/>
          </w:tcPr>
          <w:p w:rsidR="00180A10" w:rsidRDefault="00180A10">
            <w:pPr>
              <w:widowControl/>
              <w:jc w:val="left"/>
              <w:rPr>
                <w:rFonts w:ascii="Times New Roman" w:eastAsia="宋体" w:hAnsi="Times New Roman" w:cs="宋体"/>
                <w:color w:val="000000"/>
                <w:kern w:val="0"/>
                <w:sz w:val="22"/>
              </w:rPr>
            </w:pPr>
          </w:p>
        </w:tc>
      </w:tr>
    </w:tbl>
    <w:p w:rsidR="00180A10" w:rsidRDefault="00180A10">
      <w:pPr>
        <w:spacing w:line="540" w:lineRule="exact"/>
        <w:rPr>
          <w:rFonts w:ascii="Times New Roman" w:eastAsia="宋体" w:hAnsi="Times New Roman"/>
          <w:color w:val="000000" w:themeColor="text1"/>
          <w:sz w:val="24"/>
          <w:szCs w:val="24"/>
        </w:rPr>
      </w:pPr>
    </w:p>
    <w:sectPr w:rsidR="00180A10" w:rsidSect="00180A10">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A10" w:rsidRDefault="00180A10" w:rsidP="00180A10">
      <w:r>
        <w:separator/>
      </w:r>
    </w:p>
  </w:endnote>
  <w:endnote w:type="continuationSeparator" w:id="0">
    <w:p w:rsidR="00180A10" w:rsidRDefault="00180A10" w:rsidP="00180A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180A10" w:rsidRDefault="00180A10">
        <w:pPr>
          <w:pStyle w:val="a6"/>
          <w:jc w:val="center"/>
        </w:pPr>
        <w:r>
          <w:fldChar w:fldCharType="begin"/>
        </w:r>
        <w:r w:rsidR="00A018AF">
          <w:instrText>PAGE   \* MERGEFORMAT</w:instrText>
        </w:r>
        <w:r>
          <w:fldChar w:fldCharType="separate"/>
        </w:r>
        <w:r w:rsidR="00A018AF" w:rsidRPr="00A018AF">
          <w:rPr>
            <w:noProof/>
            <w:lang w:val="zh-CN"/>
          </w:rPr>
          <w:t>2</w:t>
        </w:r>
        <w:r>
          <w:fldChar w:fldCharType="end"/>
        </w:r>
      </w:p>
    </w:sdtContent>
  </w:sdt>
  <w:p w:rsidR="00180A10" w:rsidRDefault="00180A1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180A10" w:rsidRDefault="00180A10">
        <w:pPr>
          <w:pStyle w:val="a6"/>
          <w:jc w:val="center"/>
        </w:pPr>
        <w:r>
          <w:fldChar w:fldCharType="begin"/>
        </w:r>
        <w:r w:rsidR="00A018AF">
          <w:instrText>PAGE   \* MERGEFORMAT</w:instrText>
        </w:r>
        <w:r>
          <w:fldChar w:fldCharType="separate"/>
        </w:r>
        <w:r w:rsidR="00A018AF" w:rsidRPr="00A018AF">
          <w:rPr>
            <w:noProof/>
            <w:lang w:val="zh-CN"/>
          </w:rPr>
          <w:t>1</w:t>
        </w:r>
        <w:r>
          <w:fldChar w:fldCharType="end"/>
        </w:r>
      </w:p>
    </w:sdtContent>
  </w:sdt>
  <w:p w:rsidR="00180A10" w:rsidRDefault="00180A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A10" w:rsidRDefault="00180A10" w:rsidP="00180A10">
      <w:r>
        <w:separator/>
      </w:r>
    </w:p>
  </w:footnote>
  <w:footnote w:type="continuationSeparator" w:id="0">
    <w:p w:rsidR="00180A10" w:rsidRDefault="00180A10" w:rsidP="00180A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A1F"/>
    <w:rsid w:val="000E7D66"/>
    <w:rsid w:val="000F07E6"/>
    <w:rsid w:val="000F407E"/>
    <w:rsid w:val="000F6458"/>
    <w:rsid w:val="001011BF"/>
    <w:rsid w:val="001039BC"/>
    <w:rsid w:val="001279BE"/>
    <w:rsid w:val="0013251E"/>
    <w:rsid w:val="001445A9"/>
    <w:rsid w:val="00146307"/>
    <w:rsid w:val="001533B2"/>
    <w:rsid w:val="001623CF"/>
    <w:rsid w:val="00165D5C"/>
    <w:rsid w:val="00166B15"/>
    <w:rsid w:val="00174C8C"/>
    <w:rsid w:val="0017571E"/>
    <w:rsid w:val="00175AED"/>
    <w:rsid w:val="00180A10"/>
    <w:rsid w:val="00191702"/>
    <w:rsid w:val="00192262"/>
    <w:rsid w:val="001A593B"/>
    <w:rsid w:val="001B582E"/>
    <w:rsid w:val="001D04AB"/>
    <w:rsid w:val="001D2521"/>
    <w:rsid w:val="001D74AE"/>
    <w:rsid w:val="001D7E76"/>
    <w:rsid w:val="001E7CAD"/>
    <w:rsid w:val="001F125D"/>
    <w:rsid w:val="001F15CB"/>
    <w:rsid w:val="001F533E"/>
    <w:rsid w:val="00200FFC"/>
    <w:rsid w:val="0021172E"/>
    <w:rsid w:val="00221DE2"/>
    <w:rsid w:val="00234298"/>
    <w:rsid w:val="002343BD"/>
    <w:rsid w:val="00246C2B"/>
    <w:rsid w:val="002471D4"/>
    <w:rsid w:val="00253326"/>
    <w:rsid w:val="00261CDE"/>
    <w:rsid w:val="0026276F"/>
    <w:rsid w:val="002674BA"/>
    <w:rsid w:val="00276CA4"/>
    <w:rsid w:val="002823E9"/>
    <w:rsid w:val="00282A7F"/>
    <w:rsid w:val="00283F1D"/>
    <w:rsid w:val="00284E14"/>
    <w:rsid w:val="002931A8"/>
    <w:rsid w:val="00293DE4"/>
    <w:rsid w:val="002941EC"/>
    <w:rsid w:val="00296096"/>
    <w:rsid w:val="00296303"/>
    <w:rsid w:val="002968AB"/>
    <w:rsid w:val="00296F82"/>
    <w:rsid w:val="002970F7"/>
    <w:rsid w:val="002A1F54"/>
    <w:rsid w:val="002A4FF0"/>
    <w:rsid w:val="002B144C"/>
    <w:rsid w:val="002B16F4"/>
    <w:rsid w:val="002B2DA0"/>
    <w:rsid w:val="002B7B4F"/>
    <w:rsid w:val="002C4F50"/>
    <w:rsid w:val="002C5D36"/>
    <w:rsid w:val="002E24D1"/>
    <w:rsid w:val="002E79D9"/>
    <w:rsid w:val="002E7B0A"/>
    <w:rsid w:val="002F2B53"/>
    <w:rsid w:val="00303860"/>
    <w:rsid w:val="00311075"/>
    <w:rsid w:val="003117E6"/>
    <w:rsid w:val="0031471A"/>
    <w:rsid w:val="003236B7"/>
    <w:rsid w:val="0032743C"/>
    <w:rsid w:val="00332619"/>
    <w:rsid w:val="00333802"/>
    <w:rsid w:val="003467B5"/>
    <w:rsid w:val="00355B7C"/>
    <w:rsid w:val="00361065"/>
    <w:rsid w:val="0036248F"/>
    <w:rsid w:val="00382BCB"/>
    <w:rsid w:val="00391944"/>
    <w:rsid w:val="00393949"/>
    <w:rsid w:val="003948AF"/>
    <w:rsid w:val="00394BBC"/>
    <w:rsid w:val="003A4AC6"/>
    <w:rsid w:val="003B19FE"/>
    <w:rsid w:val="003C2820"/>
    <w:rsid w:val="003C3CB5"/>
    <w:rsid w:val="003C5429"/>
    <w:rsid w:val="003C5A1A"/>
    <w:rsid w:val="003D0424"/>
    <w:rsid w:val="003D32D7"/>
    <w:rsid w:val="003D7CD4"/>
    <w:rsid w:val="003F4E13"/>
    <w:rsid w:val="003F6960"/>
    <w:rsid w:val="0040020D"/>
    <w:rsid w:val="00405ADB"/>
    <w:rsid w:val="004254EE"/>
    <w:rsid w:val="00430D19"/>
    <w:rsid w:val="004310AF"/>
    <w:rsid w:val="00433480"/>
    <w:rsid w:val="0043655D"/>
    <w:rsid w:val="00437D86"/>
    <w:rsid w:val="00441246"/>
    <w:rsid w:val="00441E0B"/>
    <w:rsid w:val="00452A46"/>
    <w:rsid w:val="00454581"/>
    <w:rsid w:val="00454978"/>
    <w:rsid w:val="004561DF"/>
    <w:rsid w:val="00467E81"/>
    <w:rsid w:val="004744B6"/>
    <w:rsid w:val="004748B9"/>
    <w:rsid w:val="0047753E"/>
    <w:rsid w:val="00477BA8"/>
    <w:rsid w:val="00477EB2"/>
    <w:rsid w:val="0048111A"/>
    <w:rsid w:val="00487BF1"/>
    <w:rsid w:val="00491FCB"/>
    <w:rsid w:val="00497943"/>
    <w:rsid w:val="00497A8B"/>
    <w:rsid w:val="004A0E45"/>
    <w:rsid w:val="004A54A6"/>
    <w:rsid w:val="004B1105"/>
    <w:rsid w:val="004B44FF"/>
    <w:rsid w:val="004C06E6"/>
    <w:rsid w:val="004C3109"/>
    <w:rsid w:val="004C44C4"/>
    <w:rsid w:val="004C625A"/>
    <w:rsid w:val="004C6355"/>
    <w:rsid w:val="004E1D5E"/>
    <w:rsid w:val="004E630B"/>
    <w:rsid w:val="004F522F"/>
    <w:rsid w:val="004F7313"/>
    <w:rsid w:val="005158A6"/>
    <w:rsid w:val="0052094C"/>
    <w:rsid w:val="00524374"/>
    <w:rsid w:val="00534A41"/>
    <w:rsid w:val="0053650E"/>
    <w:rsid w:val="00542535"/>
    <w:rsid w:val="00544E6E"/>
    <w:rsid w:val="00547910"/>
    <w:rsid w:val="00551033"/>
    <w:rsid w:val="00560AC4"/>
    <w:rsid w:val="00563FE4"/>
    <w:rsid w:val="00567A02"/>
    <w:rsid w:val="005711D9"/>
    <w:rsid w:val="005751C6"/>
    <w:rsid w:val="00582D8F"/>
    <w:rsid w:val="005837B0"/>
    <w:rsid w:val="0059309E"/>
    <w:rsid w:val="00596AC1"/>
    <w:rsid w:val="005A408B"/>
    <w:rsid w:val="005A46AE"/>
    <w:rsid w:val="005A77EA"/>
    <w:rsid w:val="005B5746"/>
    <w:rsid w:val="005C00AF"/>
    <w:rsid w:val="005C6496"/>
    <w:rsid w:val="005C7C95"/>
    <w:rsid w:val="005D3C24"/>
    <w:rsid w:val="005D4528"/>
    <w:rsid w:val="005E088E"/>
    <w:rsid w:val="005E0F00"/>
    <w:rsid w:val="005F4D9C"/>
    <w:rsid w:val="005F7E5C"/>
    <w:rsid w:val="00600363"/>
    <w:rsid w:val="00604996"/>
    <w:rsid w:val="00605B67"/>
    <w:rsid w:val="00615DED"/>
    <w:rsid w:val="006163B1"/>
    <w:rsid w:val="00616874"/>
    <w:rsid w:val="0062589F"/>
    <w:rsid w:val="00626EA8"/>
    <w:rsid w:val="00641CEA"/>
    <w:rsid w:val="006431D3"/>
    <w:rsid w:val="0065080E"/>
    <w:rsid w:val="00655229"/>
    <w:rsid w:val="00656B0C"/>
    <w:rsid w:val="0066309A"/>
    <w:rsid w:val="0066627D"/>
    <w:rsid w:val="0067185B"/>
    <w:rsid w:val="006832A2"/>
    <w:rsid w:val="00684A20"/>
    <w:rsid w:val="00685805"/>
    <w:rsid w:val="00690EC4"/>
    <w:rsid w:val="006962CB"/>
    <w:rsid w:val="006A0BB0"/>
    <w:rsid w:val="006A7F42"/>
    <w:rsid w:val="006B4697"/>
    <w:rsid w:val="006B666F"/>
    <w:rsid w:val="006D17EF"/>
    <w:rsid w:val="006D6BB0"/>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6639"/>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6F23"/>
    <w:rsid w:val="007F136D"/>
    <w:rsid w:val="007F60CB"/>
    <w:rsid w:val="00801AAB"/>
    <w:rsid w:val="0080773A"/>
    <w:rsid w:val="0081788D"/>
    <w:rsid w:val="00820DD3"/>
    <w:rsid w:val="00825398"/>
    <w:rsid w:val="008263AE"/>
    <w:rsid w:val="008318C0"/>
    <w:rsid w:val="00831A29"/>
    <w:rsid w:val="00832B61"/>
    <w:rsid w:val="00835A88"/>
    <w:rsid w:val="00841F45"/>
    <w:rsid w:val="00847A69"/>
    <w:rsid w:val="00857280"/>
    <w:rsid w:val="008619E1"/>
    <w:rsid w:val="00866E5A"/>
    <w:rsid w:val="008721DF"/>
    <w:rsid w:val="008738A9"/>
    <w:rsid w:val="00876EC6"/>
    <w:rsid w:val="00881C77"/>
    <w:rsid w:val="00882FB0"/>
    <w:rsid w:val="008839E0"/>
    <w:rsid w:val="00887017"/>
    <w:rsid w:val="00891007"/>
    <w:rsid w:val="008A1AFA"/>
    <w:rsid w:val="008A1F50"/>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4F1F"/>
    <w:rsid w:val="009465EA"/>
    <w:rsid w:val="00947136"/>
    <w:rsid w:val="009506DC"/>
    <w:rsid w:val="00955161"/>
    <w:rsid w:val="00955BA0"/>
    <w:rsid w:val="009566C4"/>
    <w:rsid w:val="00956DD9"/>
    <w:rsid w:val="00962011"/>
    <w:rsid w:val="009628AE"/>
    <w:rsid w:val="00967A04"/>
    <w:rsid w:val="00973509"/>
    <w:rsid w:val="00977BBE"/>
    <w:rsid w:val="00977E7B"/>
    <w:rsid w:val="00986792"/>
    <w:rsid w:val="009871EF"/>
    <w:rsid w:val="00991292"/>
    <w:rsid w:val="00991AEE"/>
    <w:rsid w:val="0099252E"/>
    <w:rsid w:val="00993CBF"/>
    <w:rsid w:val="00997D63"/>
    <w:rsid w:val="009A149B"/>
    <w:rsid w:val="009A7E79"/>
    <w:rsid w:val="009B33C8"/>
    <w:rsid w:val="009B5D57"/>
    <w:rsid w:val="009C15E2"/>
    <w:rsid w:val="009C33BF"/>
    <w:rsid w:val="009C3820"/>
    <w:rsid w:val="009E35EB"/>
    <w:rsid w:val="009E44D6"/>
    <w:rsid w:val="009E64F2"/>
    <w:rsid w:val="009E7875"/>
    <w:rsid w:val="009F72D1"/>
    <w:rsid w:val="00A018AF"/>
    <w:rsid w:val="00A0732B"/>
    <w:rsid w:val="00A144A6"/>
    <w:rsid w:val="00A21627"/>
    <w:rsid w:val="00A32B5D"/>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B70FA"/>
    <w:rsid w:val="00AC1161"/>
    <w:rsid w:val="00AD18DD"/>
    <w:rsid w:val="00AD4F3C"/>
    <w:rsid w:val="00AD562B"/>
    <w:rsid w:val="00AE2229"/>
    <w:rsid w:val="00AE3F47"/>
    <w:rsid w:val="00AE69BF"/>
    <w:rsid w:val="00AF7347"/>
    <w:rsid w:val="00B014DF"/>
    <w:rsid w:val="00B11B77"/>
    <w:rsid w:val="00B14C64"/>
    <w:rsid w:val="00B16987"/>
    <w:rsid w:val="00B17EF5"/>
    <w:rsid w:val="00B2068A"/>
    <w:rsid w:val="00B23F95"/>
    <w:rsid w:val="00B25BAB"/>
    <w:rsid w:val="00B26285"/>
    <w:rsid w:val="00B33F4A"/>
    <w:rsid w:val="00B41297"/>
    <w:rsid w:val="00B420B9"/>
    <w:rsid w:val="00B47D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24EC"/>
    <w:rsid w:val="00C049EF"/>
    <w:rsid w:val="00C04FAE"/>
    <w:rsid w:val="00C057CB"/>
    <w:rsid w:val="00C12754"/>
    <w:rsid w:val="00C129E5"/>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0337"/>
    <w:rsid w:val="00CA1FEF"/>
    <w:rsid w:val="00CA25FC"/>
    <w:rsid w:val="00CA6A56"/>
    <w:rsid w:val="00CB2CEE"/>
    <w:rsid w:val="00CB4DE3"/>
    <w:rsid w:val="00CB6F51"/>
    <w:rsid w:val="00CC2F35"/>
    <w:rsid w:val="00CC40C3"/>
    <w:rsid w:val="00CD1E2E"/>
    <w:rsid w:val="00CD42C4"/>
    <w:rsid w:val="00CD5343"/>
    <w:rsid w:val="00CD58FD"/>
    <w:rsid w:val="00CE293B"/>
    <w:rsid w:val="00CE43F8"/>
    <w:rsid w:val="00CE7C8B"/>
    <w:rsid w:val="00CF01CC"/>
    <w:rsid w:val="00CF6D5C"/>
    <w:rsid w:val="00D10B1F"/>
    <w:rsid w:val="00D11E1F"/>
    <w:rsid w:val="00D12E50"/>
    <w:rsid w:val="00D20C81"/>
    <w:rsid w:val="00D3262F"/>
    <w:rsid w:val="00D361FE"/>
    <w:rsid w:val="00D36E74"/>
    <w:rsid w:val="00D42F13"/>
    <w:rsid w:val="00D43B3D"/>
    <w:rsid w:val="00D5035D"/>
    <w:rsid w:val="00D5213E"/>
    <w:rsid w:val="00D52A3F"/>
    <w:rsid w:val="00D535B2"/>
    <w:rsid w:val="00D56E0D"/>
    <w:rsid w:val="00D62A71"/>
    <w:rsid w:val="00D638E1"/>
    <w:rsid w:val="00D70A3B"/>
    <w:rsid w:val="00D72110"/>
    <w:rsid w:val="00D84E6E"/>
    <w:rsid w:val="00D84ED2"/>
    <w:rsid w:val="00D90AD4"/>
    <w:rsid w:val="00D919AF"/>
    <w:rsid w:val="00D937BD"/>
    <w:rsid w:val="00DA2D7C"/>
    <w:rsid w:val="00DB5A51"/>
    <w:rsid w:val="00DB6F0A"/>
    <w:rsid w:val="00DC7D1D"/>
    <w:rsid w:val="00DD7BAA"/>
    <w:rsid w:val="00DE0FFA"/>
    <w:rsid w:val="00DE6A70"/>
    <w:rsid w:val="00DF3DF3"/>
    <w:rsid w:val="00DF5AA8"/>
    <w:rsid w:val="00E05559"/>
    <w:rsid w:val="00E11D7D"/>
    <w:rsid w:val="00E1254C"/>
    <w:rsid w:val="00E14A12"/>
    <w:rsid w:val="00E14FEF"/>
    <w:rsid w:val="00E16895"/>
    <w:rsid w:val="00E2585A"/>
    <w:rsid w:val="00E32614"/>
    <w:rsid w:val="00E33250"/>
    <w:rsid w:val="00E33C56"/>
    <w:rsid w:val="00E3526B"/>
    <w:rsid w:val="00E449C3"/>
    <w:rsid w:val="00E5059C"/>
    <w:rsid w:val="00E532ED"/>
    <w:rsid w:val="00E54C06"/>
    <w:rsid w:val="00E565C1"/>
    <w:rsid w:val="00E5664A"/>
    <w:rsid w:val="00E7407A"/>
    <w:rsid w:val="00E77E93"/>
    <w:rsid w:val="00E81A0A"/>
    <w:rsid w:val="00E84710"/>
    <w:rsid w:val="00E964F7"/>
    <w:rsid w:val="00EA6F84"/>
    <w:rsid w:val="00EB7931"/>
    <w:rsid w:val="00ED548C"/>
    <w:rsid w:val="00ED7F3F"/>
    <w:rsid w:val="00EF043C"/>
    <w:rsid w:val="00EF1B7C"/>
    <w:rsid w:val="00EF33DF"/>
    <w:rsid w:val="00EF49B3"/>
    <w:rsid w:val="00EF56E1"/>
    <w:rsid w:val="00EF73FD"/>
    <w:rsid w:val="00F00561"/>
    <w:rsid w:val="00F00C52"/>
    <w:rsid w:val="00F01150"/>
    <w:rsid w:val="00F01E3D"/>
    <w:rsid w:val="00F04DC2"/>
    <w:rsid w:val="00F066D9"/>
    <w:rsid w:val="00F25F52"/>
    <w:rsid w:val="00F27046"/>
    <w:rsid w:val="00F469D5"/>
    <w:rsid w:val="00F47FEE"/>
    <w:rsid w:val="00F527B3"/>
    <w:rsid w:val="00F632AF"/>
    <w:rsid w:val="00F6382D"/>
    <w:rsid w:val="00F63F55"/>
    <w:rsid w:val="00F66378"/>
    <w:rsid w:val="00F71C51"/>
    <w:rsid w:val="00F77F4B"/>
    <w:rsid w:val="00F9100C"/>
    <w:rsid w:val="00F97E6D"/>
    <w:rsid w:val="00FA0934"/>
    <w:rsid w:val="00FA653D"/>
    <w:rsid w:val="00FB17EB"/>
    <w:rsid w:val="00FB23EE"/>
    <w:rsid w:val="00FC34DF"/>
    <w:rsid w:val="00FD658E"/>
    <w:rsid w:val="00FE0C5A"/>
    <w:rsid w:val="00FE13A2"/>
    <w:rsid w:val="06EE0895"/>
    <w:rsid w:val="0B4E3A9D"/>
    <w:rsid w:val="1B633F67"/>
    <w:rsid w:val="2A4E6BF9"/>
    <w:rsid w:val="73840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80A10"/>
    <w:pPr>
      <w:jc w:val="left"/>
    </w:pPr>
  </w:style>
  <w:style w:type="paragraph" w:styleId="a4">
    <w:name w:val="Date"/>
    <w:basedOn w:val="a"/>
    <w:next w:val="a"/>
    <w:link w:val="Char0"/>
    <w:uiPriority w:val="99"/>
    <w:semiHidden/>
    <w:unhideWhenUsed/>
    <w:qFormat/>
    <w:rsid w:val="00180A10"/>
    <w:pPr>
      <w:ind w:leftChars="2500" w:left="100"/>
    </w:pPr>
  </w:style>
  <w:style w:type="paragraph" w:styleId="a5">
    <w:name w:val="Balloon Text"/>
    <w:basedOn w:val="a"/>
    <w:link w:val="Char1"/>
    <w:uiPriority w:val="99"/>
    <w:semiHidden/>
    <w:unhideWhenUsed/>
    <w:rsid w:val="00180A10"/>
    <w:rPr>
      <w:sz w:val="18"/>
      <w:szCs w:val="18"/>
    </w:rPr>
  </w:style>
  <w:style w:type="paragraph" w:styleId="a6">
    <w:name w:val="footer"/>
    <w:basedOn w:val="a"/>
    <w:link w:val="Char2"/>
    <w:uiPriority w:val="99"/>
    <w:unhideWhenUsed/>
    <w:qFormat/>
    <w:rsid w:val="00180A1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80A1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180A10"/>
    <w:pPr>
      <w:snapToGrid w:val="0"/>
      <w:jc w:val="left"/>
    </w:pPr>
    <w:rPr>
      <w:sz w:val="18"/>
      <w:szCs w:val="18"/>
    </w:rPr>
  </w:style>
  <w:style w:type="paragraph" w:styleId="a9">
    <w:name w:val="annotation subject"/>
    <w:basedOn w:val="a3"/>
    <w:next w:val="a3"/>
    <w:link w:val="Char5"/>
    <w:uiPriority w:val="99"/>
    <w:semiHidden/>
    <w:unhideWhenUsed/>
    <w:qFormat/>
    <w:rsid w:val="00180A10"/>
    <w:rPr>
      <w:b/>
      <w:bCs/>
    </w:rPr>
  </w:style>
  <w:style w:type="character" w:styleId="aa">
    <w:name w:val="Hyperlink"/>
    <w:basedOn w:val="a0"/>
    <w:uiPriority w:val="99"/>
    <w:unhideWhenUsed/>
    <w:rsid w:val="00180A10"/>
    <w:rPr>
      <w:color w:val="0000FF" w:themeColor="hyperlink"/>
      <w:u w:val="single"/>
    </w:rPr>
  </w:style>
  <w:style w:type="character" w:styleId="ab">
    <w:name w:val="annotation reference"/>
    <w:basedOn w:val="a0"/>
    <w:uiPriority w:val="99"/>
    <w:semiHidden/>
    <w:unhideWhenUsed/>
    <w:qFormat/>
    <w:rsid w:val="00180A10"/>
    <w:rPr>
      <w:sz w:val="21"/>
      <w:szCs w:val="21"/>
    </w:rPr>
  </w:style>
  <w:style w:type="character" w:styleId="ac">
    <w:name w:val="footnote reference"/>
    <w:basedOn w:val="a0"/>
    <w:uiPriority w:val="99"/>
    <w:semiHidden/>
    <w:unhideWhenUsed/>
    <w:qFormat/>
    <w:rsid w:val="00180A10"/>
    <w:rPr>
      <w:vertAlign w:val="superscript"/>
    </w:rPr>
  </w:style>
  <w:style w:type="character" w:customStyle="1" w:styleId="Char3">
    <w:name w:val="页眉 Char"/>
    <w:basedOn w:val="a0"/>
    <w:link w:val="a7"/>
    <w:uiPriority w:val="99"/>
    <w:qFormat/>
    <w:rsid w:val="00180A10"/>
    <w:rPr>
      <w:sz w:val="18"/>
      <w:szCs w:val="18"/>
    </w:rPr>
  </w:style>
  <w:style w:type="character" w:customStyle="1" w:styleId="Char2">
    <w:name w:val="页脚 Char"/>
    <w:basedOn w:val="a0"/>
    <w:link w:val="a6"/>
    <w:uiPriority w:val="99"/>
    <w:rsid w:val="00180A10"/>
    <w:rPr>
      <w:sz w:val="18"/>
      <w:szCs w:val="18"/>
    </w:rPr>
  </w:style>
  <w:style w:type="paragraph" w:styleId="ad">
    <w:name w:val="List Paragraph"/>
    <w:basedOn w:val="a"/>
    <w:uiPriority w:val="34"/>
    <w:qFormat/>
    <w:rsid w:val="00180A10"/>
    <w:pPr>
      <w:ind w:firstLineChars="200" w:firstLine="420"/>
    </w:pPr>
  </w:style>
  <w:style w:type="character" w:customStyle="1" w:styleId="Char1">
    <w:name w:val="批注框文本 Char"/>
    <w:basedOn w:val="a0"/>
    <w:link w:val="a5"/>
    <w:uiPriority w:val="99"/>
    <w:semiHidden/>
    <w:rsid w:val="00180A10"/>
    <w:rPr>
      <w:sz w:val="18"/>
      <w:szCs w:val="18"/>
    </w:rPr>
  </w:style>
  <w:style w:type="character" w:customStyle="1" w:styleId="Char">
    <w:name w:val="批注文字 Char"/>
    <w:basedOn w:val="a0"/>
    <w:link w:val="a3"/>
    <w:uiPriority w:val="99"/>
    <w:semiHidden/>
    <w:qFormat/>
    <w:rsid w:val="00180A10"/>
  </w:style>
  <w:style w:type="character" w:customStyle="1" w:styleId="Char5">
    <w:name w:val="批注主题 Char"/>
    <w:basedOn w:val="Char"/>
    <w:link w:val="a9"/>
    <w:uiPriority w:val="99"/>
    <w:semiHidden/>
    <w:qFormat/>
    <w:rsid w:val="00180A10"/>
    <w:rPr>
      <w:b/>
      <w:bCs/>
    </w:rPr>
  </w:style>
  <w:style w:type="character" w:customStyle="1" w:styleId="Char4">
    <w:name w:val="脚注文本 Char"/>
    <w:basedOn w:val="a0"/>
    <w:link w:val="a8"/>
    <w:uiPriority w:val="99"/>
    <w:semiHidden/>
    <w:qFormat/>
    <w:rsid w:val="00180A10"/>
    <w:rPr>
      <w:sz w:val="18"/>
      <w:szCs w:val="18"/>
    </w:rPr>
  </w:style>
  <w:style w:type="character" w:customStyle="1" w:styleId="Char0">
    <w:name w:val="日期 Char"/>
    <w:basedOn w:val="a0"/>
    <w:link w:val="a4"/>
    <w:uiPriority w:val="99"/>
    <w:semiHidden/>
    <w:qFormat/>
    <w:rsid w:val="00180A10"/>
  </w:style>
  <w:style w:type="character" w:customStyle="1" w:styleId="c24">
    <w:name w:val="c24"/>
    <w:basedOn w:val="a0"/>
    <w:rsid w:val="00180A10"/>
    <w:rPr>
      <w:color w:val="4D4D4D"/>
      <w:sz w:val="27"/>
      <w:szCs w:val="27"/>
    </w:rPr>
  </w:style>
  <w:style w:type="paragraph" w:customStyle="1" w:styleId="1">
    <w:name w:val="修订1"/>
    <w:hidden/>
    <w:uiPriority w:val="99"/>
    <w:unhideWhenUsed/>
    <w:rsid w:val="00180A1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7446-56B7-4AE4-BDCC-1E5FF564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2912</Characters>
  <Application>Microsoft Office Word</Application>
  <DocSecurity>4</DocSecurity>
  <Lines>24</Lines>
  <Paragraphs>6</Paragraphs>
  <ScaleCrop>false</ScaleCrop>
  <Company>CNSTOCK</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2025-07-20T16:04:00Z</dcterms:created>
  <dcterms:modified xsi:type="dcterms:W3CDTF">2025-07-20T16:04:00Z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CA6D63B1B89A48FBBC7107172505070C_13</vt:lpwstr>
  </property>
</Properties>
</file>