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EF" w:rsidRDefault="000B3BB4">
      <w:pPr>
        <w:spacing w:line="360" w:lineRule="auto"/>
        <w:ind w:firstLineChars="50" w:firstLine="141"/>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富国基金管理有限公司旗下</w:t>
      </w:r>
      <w:r>
        <w:rPr>
          <w:rFonts w:asciiTheme="minorEastAsia" w:hAnsiTheme="minorEastAsia"/>
          <w:b/>
          <w:color w:val="000000" w:themeColor="text1"/>
          <w:sz w:val="28"/>
          <w:szCs w:val="28"/>
        </w:rPr>
        <w:t>部分</w:t>
      </w:r>
      <w:r>
        <w:rPr>
          <w:rFonts w:asciiTheme="minorEastAsia" w:hAnsiTheme="minorEastAsia" w:hint="eastAsia"/>
          <w:b/>
          <w:color w:val="000000" w:themeColor="text1"/>
          <w:sz w:val="28"/>
          <w:szCs w:val="28"/>
        </w:rPr>
        <w:t>基金季度报告提示性公告</w:t>
      </w:r>
    </w:p>
    <w:p w:rsidR="00DD36EF" w:rsidRDefault="000B3BB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DD36EF" w:rsidRDefault="000B3BB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w:t>
      </w:r>
      <w:r>
        <w:rPr>
          <w:rFonts w:asciiTheme="minorEastAsia" w:hAnsiTheme="minorEastAsia"/>
          <w:color w:val="000000" w:themeColor="text1"/>
          <w:sz w:val="24"/>
          <w:szCs w:val="24"/>
        </w:rPr>
        <w:t>公司</w:t>
      </w:r>
      <w:r>
        <w:rPr>
          <w:rFonts w:asciiTheme="minorEastAsia" w:hAnsiTheme="minorEastAsia" w:hint="eastAsia"/>
          <w:color w:val="000000" w:themeColor="text1"/>
          <w:sz w:val="24"/>
          <w:szCs w:val="24"/>
        </w:rPr>
        <w:t>旗下如下</w:t>
      </w:r>
      <w:r>
        <w:rPr>
          <w:rFonts w:asciiTheme="minorEastAsia" w:hAnsiTheme="minorEastAsia"/>
          <w:color w:val="000000" w:themeColor="text1"/>
          <w:sz w:val="24"/>
          <w:szCs w:val="24"/>
        </w:rPr>
        <w:t>基金</w:t>
      </w:r>
      <w:r>
        <w:rPr>
          <w:rFonts w:asciiTheme="minorEastAsia" w:hAnsiTheme="minorEastAsia"/>
          <w:color w:val="000000" w:themeColor="text1"/>
          <w:sz w:val="24"/>
          <w:szCs w:val="24"/>
        </w:rPr>
        <w:t>202</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年度第</w:t>
      </w:r>
      <w:r>
        <w:rPr>
          <w:rFonts w:asciiTheme="minorEastAsia" w:hAnsiTheme="minorEastAsia" w:hint="eastAsia"/>
          <w:color w:val="000000" w:themeColor="text1"/>
          <w:sz w:val="24"/>
          <w:szCs w:val="24"/>
        </w:rPr>
        <w:t>二</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7</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21</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www.fullgoal.com.cn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w:t>
      </w:r>
      <w:bookmarkStart w:id="0" w:name="_GoBack"/>
      <w:bookmarkEnd w:id="0"/>
      <w:r>
        <w:rPr>
          <w:rFonts w:asciiTheme="minorEastAsia" w:hAnsiTheme="minorEastAsia"/>
          <w:color w:val="000000" w:themeColor="text1"/>
          <w:sz w:val="24"/>
          <w:szCs w:val="24"/>
        </w:rPr>
        <w:t>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r>
        <w:rPr>
          <w:rFonts w:asciiTheme="minorEastAsia" w:hAnsiTheme="minorEastAsia" w:hint="eastAsia"/>
          <w:sz w:val="24"/>
          <w:szCs w:val="24"/>
        </w:rPr>
        <w:t>http://eid.csrc.gov.cn/fund</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4008880688</w:t>
      </w:r>
      <w:r>
        <w:rPr>
          <w:rFonts w:asciiTheme="minorEastAsia" w:hAnsiTheme="minorEastAsia" w:hint="eastAsia"/>
          <w:color w:val="000000" w:themeColor="text1"/>
          <w:sz w:val="24"/>
          <w:szCs w:val="24"/>
        </w:rPr>
        <w:t>（全国统一，均免长途话费）或</w:t>
      </w:r>
      <w:r>
        <w:rPr>
          <w:rFonts w:asciiTheme="minorEastAsia" w:hAnsiTheme="minorEastAsia" w:hint="eastAsia"/>
          <w:color w:val="000000" w:themeColor="text1"/>
          <w:sz w:val="24"/>
          <w:szCs w:val="24"/>
        </w:rPr>
        <w:t>95105686</w:t>
      </w:r>
      <w:r>
        <w:rPr>
          <w:rFonts w:asciiTheme="minorEastAsia" w:hAnsiTheme="minorEastAsia" w:hint="eastAsia"/>
          <w:color w:val="000000" w:themeColor="text1"/>
          <w:sz w:val="24"/>
          <w:szCs w:val="24"/>
        </w:rPr>
        <w:t>）咨询。</w:t>
      </w:r>
    </w:p>
    <w:tbl>
      <w:tblPr>
        <w:tblW w:w="8301" w:type="dxa"/>
        <w:tblInd w:w="98" w:type="dxa"/>
        <w:tblLayout w:type="fixed"/>
        <w:tblLook w:val="04A0"/>
      </w:tblPr>
      <w:tblGrid>
        <w:gridCol w:w="866"/>
        <w:gridCol w:w="960"/>
        <w:gridCol w:w="6475"/>
      </w:tblGrid>
      <w:tr w:rsidR="00DD36EF">
        <w:trPr>
          <w:trHeight w:val="420"/>
        </w:trPr>
        <w:tc>
          <w:tcPr>
            <w:tcW w:w="8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D36EF" w:rsidRDefault="000B3BB4">
            <w:pPr>
              <w:widowControl/>
              <w:jc w:val="center"/>
              <w:textAlignment w:val="center"/>
              <w:rPr>
                <w:rFonts w:ascii="宋体" w:eastAsia="宋体" w:hAnsi="宋体" w:cs="宋体"/>
                <w:b/>
                <w:bCs/>
                <w:color w:val="000000"/>
                <w:kern w:val="0"/>
                <w:sz w:val="24"/>
                <w:szCs w:val="24"/>
                <w:lang/>
              </w:rPr>
            </w:pPr>
            <w:r>
              <w:rPr>
                <w:rFonts w:ascii="宋体" w:eastAsia="宋体" w:hAnsi="宋体" w:cs="宋体" w:hint="eastAsia"/>
                <w:b/>
                <w:bCs/>
                <w:color w:val="000000"/>
                <w:kern w:val="0"/>
                <w:sz w:val="24"/>
                <w:szCs w:val="24"/>
                <w:lang/>
              </w:rPr>
              <w:t>序号</w:t>
            </w:r>
          </w:p>
        </w:tc>
        <w:tc>
          <w:tcPr>
            <w:tcW w:w="9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D36EF" w:rsidRDefault="000B3BB4">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基金代码</w:t>
            </w:r>
          </w:p>
        </w:tc>
        <w:tc>
          <w:tcPr>
            <w:tcW w:w="64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D36EF" w:rsidRDefault="000B3BB4">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基金名称</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159971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501077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富国创新企业灵活配置混合型证券投资基金（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512040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512710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富国军工龙头交易型开放式指数证券投资基金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000029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富国宏观策略灵活配置混合型证券投资基金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000107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000139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富国国有企业债债券型证券投资基金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000191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富国信用债债券型证券投资基金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000197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富国目标收益一年期纯债债券型证券投资基金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000220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富国医疗保健行业混合型证券投资基金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000469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富国目标齐利一年期纯债债券型证券投资基金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000471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富国城镇发展股票型证券投资基金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000513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富国高端制造行业股票型证券投资基金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000516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富国祥利一年期定期开放债券型证券投资基金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000602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富国安益货币市场基金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000634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富国天盛灵活配置混合型证券投资基金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000638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富国富钱包货币市场基金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000810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富国收益增强债券型证券投资基金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000841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富国新回报灵活配置混合型证券投资基金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000880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富国研究精选灵活配置混合型证券投资基金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000940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富国中小盘精选混合型证券投资基金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001048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富国新兴产业股票型证券投资基金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001186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富国文体健康股票型证券投资基金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001268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富国国家安全主题混合型证券投资基金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001345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富国新收益灵活配置混合型证券投资基金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001349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富国改革动力混合型证券投资基金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001371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富国沪港深价值精选灵活配置混合型证券投资基金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001508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富国新动力灵活配置混合型证券投资基金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001641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富国绝对收益多策略定期开放混合型发起式证券投资基金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001827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富国研究优选沪港深灵活配置混合型证券投资基金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001985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富国低碳新经济混合型证券投资基金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002340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富国价值优势混合型证券投资基金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002483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富国泰利定期开放债券型发起式证券投资基金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002593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富国美丽中国混合型证券投资基金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002692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富国创新科技混合型证券投资基金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002898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富国两年期理财债券型证券投资基金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002908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富国睿利定期开放混合型发起式证券投资基金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003877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富国久利稳健配置混合型证券投资基金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004183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富国产业升级混合型证券投资基金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004604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富国新活力灵活配置混合型发起式证券投资基金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004674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富国新机遇灵活配置混合型发起式证券投资基金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004736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富国鼎利纯债债券型发起式证券投资基金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004737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富国新优享灵活配置混合型证券投资基金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004902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富国丰利增强债券型发起式证券投资基金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004920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富国泓利纯债债券型发起式证券投资基金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004978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富国聚利纯债定期开放债券型发起式证券投资基金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005075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富国研究量化精选混合型证券投资基金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005078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富国宝利增强债券型发起式证券投资基金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005121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富国兴利增强债券型发起式证券投资基金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005171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富国景利纯债债券型发起式证券投资基金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005176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富国精准医疗灵活配置混合型证券投资基金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005354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富国沪港深行业精选灵活配置混合型发起式证券投资基金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005357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富国国企改革灵活配置混合型证券投资基金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005368</w:t>
            </w:r>
          </w:p>
        </w:tc>
        <w:tc>
          <w:tcPr>
            <w:tcW w:w="64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富国清洁能源产业灵活配置混合型证券投资基金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005369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富国臻利纯债定期开放债券型发起式证券投资基金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005383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富国绿色纯债一年定期开放债券型证券投资基金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005472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富国价值驱动灵活配置混合型证券投资基金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005517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富国新趋势灵活配置混合型证券投资基金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005549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富国成长优选三年定期开放灵活配置混合型证券投资基金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005609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富国军工主题混合型证券投资基金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005707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富国港股通量化精选股票型证券投资基金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005732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富国臻选成长灵活配置混合型证券投资基金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005739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富国转型机遇混合型证券投资基金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005760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富国周期优势混合型证券投资基金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005840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富国产业驱动混合型证券投资基金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005841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富国尊利纯债定期开放债券型发起式证券投资基金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005847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富国沪港深业绩驱动混合型证券投资基金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Style w:val="font31"/>
                <w:rFonts w:hint="default"/>
                <w:sz w:val="21"/>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Style w:val="font31"/>
                <w:sz w:val="21"/>
                <w:szCs w:val="21"/>
                <w:lang/>
              </w:rPr>
              <w:t>005920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富国颐利纯债债券型证券投资基金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006022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富国大盘价值量化精选混合型证券投资基金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006034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股国际通指数增强型证券投资基金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006134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006179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富国品质生活混合型证券投资基金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006218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富国生物医药科技混合型证券投资基金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007898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富国智诚精选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006409</w:t>
            </w:r>
          </w:p>
        </w:tc>
        <w:tc>
          <w:tcPr>
            <w:tcW w:w="6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-1-3</w:t>
            </w:r>
            <w:r>
              <w:rPr>
                <w:rFonts w:ascii="Times New Roman" w:eastAsia="宋体" w:hAnsi="Times New Roman" w:cs="Times New Roman"/>
                <w:color w:val="000000"/>
                <w:kern w:val="0"/>
                <w:szCs w:val="21"/>
                <w:lang/>
              </w:rPr>
              <w:t>年国开行债券指数证券投资基金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006527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富国优质发展混合型证券投资基金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006652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富国金融地产行业混合型证券投资基金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006748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006750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富国德利纯债三个月定期开放债券型发起式证券投资基金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006751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富国互联科技股票型证券投资基金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006796</w:t>
            </w:r>
          </w:p>
        </w:tc>
        <w:tc>
          <w:tcPr>
            <w:tcW w:w="6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富国消费升级混合型证券投资基金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006804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富国短债债券型证券投资基金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Style w:val="font31"/>
                <w:rFonts w:hint="default"/>
                <w:sz w:val="21"/>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Style w:val="font31"/>
                <w:sz w:val="21"/>
                <w:szCs w:val="21"/>
                <w:lang/>
              </w:rPr>
              <w:t>007016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富国睿泽回报混合型证券投资基金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007139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富国民裕进取沪港深成长精选混合型证券投资基金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007197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1-5</w:t>
            </w:r>
            <w:r>
              <w:rPr>
                <w:rFonts w:ascii="Times New Roman" w:eastAsia="宋体" w:hAnsi="Times New Roman" w:cs="Times New Roman"/>
                <w:color w:val="000000"/>
                <w:kern w:val="0"/>
                <w:szCs w:val="21"/>
                <w:lang/>
              </w:rPr>
              <w:t>年农发行债券指数证券投资基金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007345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富国科技创新灵活配置混合型证券投资基金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007455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富国蓝筹精选股票型证券投资基金（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007616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富国投资级信用债债券型证券投资基金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012638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富国智优精选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007786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007809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013793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007949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富国泽利纯债债券型证券投资基金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007990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富国汇远纯债三年定期开放债券型证券投资基金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008138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富国龙头优势混合型证券投资基金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008367</w:t>
            </w:r>
          </w:p>
        </w:tc>
        <w:tc>
          <w:tcPr>
            <w:tcW w:w="64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富国亚洲收益债券型证券投资基金（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008372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富国阿尔法两年持有期混合型证券投资基金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008521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富国汇优纯债</w:t>
            </w:r>
            <w:r>
              <w:rPr>
                <w:rFonts w:ascii="Times New Roman" w:eastAsia="宋体" w:hAnsi="Times New Roman" w:cs="Times New Roman"/>
                <w:color w:val="000000"/>
                <w:kern w:val="0"/>
                <w:szCs w:val="21"/>
                <w:lang/>
              </w:rPr>
              <w:t>63</w:t>
            </w:r>
            <w:r>
              <w:rPr>
                <w:rFonts w:ascii="Times New Roman" w:eastAsia="宋体" w:hAnsi="Times New Roman" w:cs="Times New Roman"/>
                <w:color w:val="000000"/>
                <w:kern w:val="0"/>
                <w:szCs w:val="21"/>
                <w:lang/>
              </w:rPr>
              <w:t>个月定期开放债券型证券投资基金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008749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008835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富国量化对冲策略三个月持有期灵活配置混合型证券投资基金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008901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富国内需增长混合型证券投资基金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008975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009108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009162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富国医药成长</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100016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富国天源沪港深平衡混合型证券投资基金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100018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富国天利增长债券投资基金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富国天益价值混合型证券投资基金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富国天瑞强势地区精选混合型证券投资基金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富国天时货币市场基金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富国天合稳健优选混合型证券投资基金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100029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富国天成红利灵活配置混合型证券投资基金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富国中证红利指数增强型证券投资基金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富国优化增强债券型证券投资基金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增强证券投资基金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100039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富国通胀通缩主题轮动混合型证券投资基金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100050</w:t>
            </w:r>
          </w:p>
        </w:tc>
        <w:tc>
          <w:tcPr>
            <w:tcW w:w="6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富国全球债券证券投资基金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富国可转换债券证券投资基金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富国上证综指交易型开放式指数证券投资基金联接基金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富国全球科技互联网股票型证券投资基金（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富国低碳环保混合型证券投资基金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100058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100060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富国高新技术产业混合型证券投资基金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100061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富国中国中小盘（香港上市）混合型证券投资基金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100066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富国纯债债券型发起式证券投资基金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100072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富国强回报定期开放债券型证券投资基金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159974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161005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富国天惠精选成长混合型证券投资基金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富国天丰强化收益债券型证券投资基金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富国汇利回报两年定期开放债券型证券投资基金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富国天盈债券型证券投资基金（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161019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富国新天锋定期开放债券型证券投资基金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富国中证移动互联网指数型证券投资基金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富国中证新能源汽车指数型证券投资基金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161029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富国中证银行指数型证券投资基金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富国中证体育产业指数型证券投资基金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富国中证工业</w:t>
            </w:r>
            <w:r>
              <w:rPr>
                <w:rFonts w:ascii="Times New Roman" w:eastAsia="宋体" w:hAnsi="Times New Roman" w:cs="Times New Roman"/>
                <w:color w:val="000000"/>
                <w:kern w:val="0"/>
                <w:szCs w:val="21"/>
                <w:lang/>
              </w:rPr>
              <w:t>4.0</w:t>
            </w:r>
            <w:r>
              <w:rPr>
                <w:rFonts w:ascii="Times New Roman" w:eastAsia="宋体" w:hAnsi="Times New Roman" w:cs="Times New Roman"/>
                <w:color w:val="000000"/>
                <w:kern w:val="0"/>
                <w:szCs w:val="21"/>
                <w:lang/>
              </w:rPr>
              <w:t>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富国中证煤炭指数型证券投资基金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富国中证智能汽车指数证券投资基金（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富国中证娱乐主题指数增强型证券投资基金（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富国中证高端制造指数增强型证券投资基金（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富国新兴成长量化精选混合型证券投资基金（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161039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510210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上证综指交易型开放式指数证券投资基金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511900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富国收益宝交易型货币市场基金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515150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515650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515750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515850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515950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519035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富国天博创新主题混合型证券投资基金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519915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富国消费主题混合型证券投资基金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009289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富国长江经济带纯债债券型证券投资基金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009334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富国融享</w:t>
            </w:r>
            <w:r>
              <w:rPr>
                <w:rFonts w:ascii="Times New Roman" w:eastAsia="宋体" w:hAnsi="Times New Roman" w:cs="Times New Roman"/>
                <w:color w:val="000000"/>
                <w:kern w:val="0"/>
                <w:szCs w:val="21"/>
                <w:lang/>
              </w:rPr>
              <w:t>18</w:t>
            </w:r>
            <w:r>
              <w:rPr>
                <w:rFonts w:ascii="Times New Roman" w:eastAsia="宋体" w:hAnsi="Times New Roman" w:cs="Times New Roman"/>
                <w:color w:val="000000"/>
                <w:kern w:val="0"/>
                <w:szCs w:val="21"/>
                <w:lang/>
              </w:rPr>
              <w:t>个月定期开放混合型证券投资基金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009290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富国添享一年持有期债券型证券投资基金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009693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富国积极成长一年定期开放混合型证券投资基金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009092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富国新材料新能源混合型证券投资基金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518680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161040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富国创业板两年定期开放混合型证券投资基金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009504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009863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富国创新趋势股票型证券投资基金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506003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富国科创板两年定期开放混合型证券投资基金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009892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富国成长策略混合型证券投资基金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009782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富国兴泉回报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009642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富国荣利纯债一年定期开放债券型发起式证券投资基金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010029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富国稳进回报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010109</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富国价值增长混合型证券投资基金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009914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富国成长动力混合型证券投资基金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010409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富国消费精选</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010435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富国双债增强债券型证券投资基金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010549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富国均衡策略混合型证券投资基金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159825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010515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富国天兴回报混合型证券投资基金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010859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0-2</w:t>
            </w:r>
            <w:r>
              <w:rPr>
                <w:rFonts w:ascii="Times New Roman" w:eastAsia="宋体" w:hAnsi="Times New Roman" w:cs="Times New Roman"/>
                <w:color w:val="000000"/>
                <w:kern w:val="0"/>
                <w:szCs w:val="21"/>
                <w:lang/>
              </w:rPr>
              <w:t>年国开行债券指数证券投资基金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010644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富国全球健康生活主题混合型证券投资基金（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515250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010662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富国均衡优选混合型证券投资基金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515400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011099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富国价值创造混合型证券投资基金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010966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富国成长领航混合型证券投资基金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517100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011212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富国稳健策略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516120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011164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富国兴远优选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010843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富国天润回报混合型证券投资基金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011046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富国优质企业混合型证券投资基金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011160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富国质量成长</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159886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011999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富国安泰</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天滚动持有短债债券型证券投资基金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010624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011769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159887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银行交易型开放式指数证券投资基金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011635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富国港股通策略精选混合型证券投资基金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011498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基本面精选股票型证券投资基金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516910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富国中证现代物流交易型开放式指数证券投资基金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508006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富国首创水务封闭式基础设施证券投资基金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012255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富国高质量混合型证券投资基金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012010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516830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588380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011037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富国长期成长混合型证券投资基金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012273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富国汇鑫金融债三个月定期开放债券型证券投资基金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012275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159766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富国中证旅游主题交易型开放式指数证券投资基金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012828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富国浦诚回报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012270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富国腾享回报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个月滚动持有混合型发起式证券投资基金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012060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富国全球消费精选混合型证券投资基金（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159713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富国中证稀土产业交易型开放式指数证券投资基金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516640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012576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富国诚益回报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013313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012477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012373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富国稳健恒盛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159792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011921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富国均衡成长三年持有期混合型证券投资基金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561130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013795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富国智申精选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013143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012746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富国双利增强债券型证券投资基金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013678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516750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富国中证全指建筑材料交易型开放式指数证券投资基金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012147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富国大盘核心资产混合型证券投资基金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011641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富国达利纯债一年定期开放债券型发起式证券投资基金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012823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富国安利</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013524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富国悦享回报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013663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富国安福</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天滚动持有短债债券型发起式证券投资基金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159748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015231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富国智选稳进</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014057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富国金安均衡精选混合型证券投资基金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014427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富国中证同业存单</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指数</w:t>
            </w:r>
            <w:r>
              <w:rPr>
                <w:rFonts w:ascii="Times New Roman" w:eastAsia="宋体" w:hAnsi="Times New Roman" w:cs="Times New Roman"/>
                <w:color w:val="000000"/>
                <w:kern w:val="0"/>
                <w:szCs w:val="21"/>
                <w:lang/>
              </w:rPr>
              <w:t>7</w:t>
            </w:r>
            <w:r>
              <w:rPr>
                <w:rFonts w:ascii="Times New Roman" w:eastAsia="宋体" w:hAnsi="Times New Roman" w:cs="Times New Roman"/>
                <w:color w:val="000000"/>
                <w:kern w:val="0"/>
                <w:szCs w:val="21"/>
                <w:lang/>
              </w:rPr>
              <w:t>天持有期证券投资基金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013420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2045</w:t>
            </w:r>
            <w:r>
              <w:rPr>
                <w:rFonts w:ascii="Times New Roman" w:eastAsia="宋体" w:hAnsi="Times New Roman" w:cs="Times New Roman"/>
                <w:color w:val="000000"/>
                <w:kern w:val="0"/>
                <w:szCs w:val="21"/>
                <w:lang/>
              </w:rPr>
              <w:t>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012578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012801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013421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2025</w:t>
            </w:r>
            <w:r>
              <w:rPr>
                <w:rFonts w:ascii="Times New Roman" w:eastAsia="宋体" w:hAnsi="Times New Roman" w:cs="Times New Roman"/>
                <w:color w:val="000000"/>
                <w:kern w:val="0"/>
                <w:szCs w:val="21"/>
                <w:lang/>
              </w:rPr>
              <w:t>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014663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富国创新发展两年定期开放混合型证券投资基金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014673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006297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富国鑫旺稳健养老目标一年持有期混合型基金中基金（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014776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561100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011830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富国天恒混合型证券投资基金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561120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014347</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富国趋势优先混合型证券投资基金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014611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富国核心科技</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014718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富国天旭均衡混合型证券投资基金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014406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014794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富国远见优选混合型证券投资基金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014671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富国裕利债券型证券投资基金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007662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富国鑫旺均衡养老目标三年持有期混合型发起式基金中基金（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501216</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富国智鑫行业精选一年封闭运作股票型基金中基金（</w:t>
            </w:r>
            <w:r>
              <w:rPr>
                <w:rFonts w:ascii="Times New Roman" w:eastAsia="宋体" w:hAnsi="Times New Roman" w:cs="Times New Roman"/>
                <w:color w:val="000000"/>
                <w:kern w:val="0"/>
                <w:szCs w:val="21"/>
                <w:lang/>
              </w:rPr>
              <w:t>FOF-LOF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013632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富国利享回报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015539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富国元利债券型证券投资基金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015876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014682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富国智浦稳进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014059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富国安慧短债债券型证券投资基金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014721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富国碳中和一年定期开放债券型发起式证券投资基金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561160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015315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富国汇享三个月定期开放债券型证券投资基金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561190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159629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015889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基本面精选股票型发起式证券投资基金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015891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基本面精选股票型发起式证券投资基金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511520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015878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159645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016588</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富国融甄混合型证券投资基金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016590</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富国汽车智选混合型证券投资基金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016585</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富国汇泽一年定期开放债券型证券投资基金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561180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014797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富国融悦</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016633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016645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017038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优选股票型证券投资基金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017222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017226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017521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富国北证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016719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富国稳健双盈债券型发起式证券投资基金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017630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富国周期精选三年持有期混合型证券投资基金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017041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561170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014449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富国融丰两年定期开放混合型证券投资基金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159676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018134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017828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富国时代精选混合型证券投资基金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018266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513950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016610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富国稳健添盈债券型证券投资基金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014401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富国核心趋势混合型证券投资基金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016964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2035</w:t>
            </w:r>
            <w:r>
              <w:rPr>
                <w:rFonts w:ascii="Times New Roman" w:eastAsia="宋体" w:hAnsi="Times New Roman" w:cs="Times New Roman"/>
                <w:color w:val="000000"/>
                <w:kern w:val="0"/>
                <w:szCs w:val="21"/>
                <w:lang/>
              </w:rPr>
              <w:t>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017710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富国增利债券型发起式证券投资基金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018393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富国稳健添利债券型证券投资基金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016887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018318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富国智选积极</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159506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富国恒生港股通医疗保健交易型开放式指数证券投资基金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018626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018477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富国安瑞</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天持有期债券型发起式证券投资基金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018270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富国鑫旺积极养老目标五年持有期混合型发起式基金中基金（</w:t>
            </w:r>
            <w:r>
              <w:rPr>
                <w:rFonts w:ascii="Times New Roman" w:eastAsia="宋体" w:hAnsi="Times New Roman" w:cs="Times New Roman"/>
                <w:color w:val="000000"/>
                <w:kern w:val="0"/>
                <w:szCs w:val="21"/>
                <w:lang/>
              </w:rPr>
              <w:t>FOF</w:t>
            </w:r>
            <w:r>
              <w:rPr>
                <w:rStyle w:val="font31"/>
                <w:rFonts w:ascii="Times New Roman" w:hAnsi="Times New Roman" w:cs="Times New Roman" w:hint="default"/>
                <w:sz w:val="21"/>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018038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富国融裕两年持有期混合型证券投资基金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018971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富国致弘量化选股股票型证券投资基金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019260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018748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富国安恒</w:t>
            </w:r>
            <w:r>
              <w:rPr>
                <w:rFonts w:ascii="Times New Roman" w:eastAsia="宋体" w:hAnsi="Times New Roman" w:cs="Times New Roman"/>
                <w:color w:val="000000"/>
                <w:kern w:val="0"/>
                <w:szCs w:val="21"/>
                <w:lang/>
              </w:rPr>
              <w:t>60</w:t>
            </w:r>
            <w:r>
              <w:rPr>
                <w:rStyle w:val="font31"/>
                <w:rFonts w:ascii="Times New Roman" w:hAnsi="Times New Roman" w:cs="Times New Roman" w:hint="default"/>
                <w:sz w:val="21"/>
                <w:szCs w:val="21"/>
                <w:lang/>
              </w:rPr>
              <w:t>天持有期债券型发起式证券投资基金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159538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563200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富国中证</w:t>
            </w:r>
            <w:r>
              <w:rPr>
                <w:rFonts w:ascii="Times New Roman" w:eastAsia="宋体" w:hAnsi="Times New Roman" w:cs="Times New Roman"/>
                <w:color w:val="000000"/>
                <w:kern w:val="0"/>
                <w:szCs w:val="21"/>
                <w:lang/>
              </w:rPr>
              <w:t>2000</w:t>
            </w:r>
            <w:r>
              <w:rPr>
                <w:rStyle w:val="font31"/>
                <w:rFonts w:ascii="Times New Roman" w:hAnsi="Times New Roman" w:cs="Times New Roman" w:hint="default"/>
                <w:sz w:val="21"/>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bottom"/>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bottom"/>
              <w:rPr>
                <w:rFonts w:ascii="宋体" w:eastAsia="宋体" w:hAnsi="宋体" w:cs="宋体"/>
                <w:color w:val="000000"/>
                <w:szCs w:val="21"/>
              </w:rPr>
            </w:pPr>
            <w:r>
              <w:rPr>
                <w:rFonts w:ascii="宋体" w:eastAsia="宋体" w:hAnsi="宋体" w:cs="宋体" w:hint="eastAsia"/>
                <w:color w:val="000000"/>
                <w:kern w:val="0"/>
                <w:szCs w:val="21"/>
                <w:lang/>
              </w:rPr>
              <w:t>019054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D36EF" w:rsidRDefault="000B3BB4">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富国价值成长混合型证券投资基金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513870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51"/>
                <w:rFonts w:ascii="Times New Roman" w:hAnsi="Times New Roman" w:cs="Times New Roman" w:hint="default"/>
                <w:sz w:val="21"/>
                <w:szCs w:val="21"/>
                <w:lang/>
              </w:rPr>
              <w:t>富国纳斯达克</w:t>
            </w:r>
            <w:r>
              <w:rPr>
                <w:rStyle w:val="font71"/>
                <w:rFonts w:ascii="Times New Roman" w:hAnsi="Times New Roman" w:cs="Times New Roman" w:hint="default"/>
                <w:b w:val="0"/>
                <w:bCs w:val="0"/>
                <w:sz w:val="21"/>
                <w:szCs w:val="21"/>
                <w:lang/>
              </w:rPr>
              <w:t>100</w:t>
            </w:r>
            <w:r>
              <w:rPr>
                <w:rStyle w:val="font31"/>
                <w:rFonts w:ascii="Times New Roman" w:hAnsi="Times New Roman" w:cs="Times New Roman" w:hint="default"/>
                <w:sz w:val="21"/>
                <w:szCs w:val="21"/>
                <w:lang/>
              </w:rPr>
              <w:t>交易型开放式指数证券投资基金（</w:t>
            </w:r>
            <w:r>
              <w:rPr>
                <w:rStyle w:val="font71"/>
                <w:rFonts w:ascii="Times New Roman" w:hAnsi="Times New Roman" w:cs="Times New Roman" w:hint="default"/>
                <w:b w:val="0"/>
                <w:bCs w:val="0"/>
                <w:sz w:val="21"/>
                <w:szCs w:val="21"/>
                <w:lang/>
              </w:rPr>
              <w:t>QDII</w:t>
            </w:r>
            <w:r>
              <w:rPr>
                <w:rStyle w:val="font31"/>
                <w:rFonts w:ascii="Times New Roman" w:hAnsi="Times New Roman" w:cs="Times New Roman" w:hint="default"/>
                <w:sz w:val="21"/>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019897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019178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富国瑞丰纯债债券型证券投资基金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513350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富国标普石油天然气勘探及生产精选行业交易型开放式指数证券投资基金（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019583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富国稳健添辰债券型证券投资基金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富国深证</w:t>
            </w:r>
            <w:r>
              <w:rPr>
                <w:rStyle w:val="font71"/>
                <w:rFonts w:ascii="Times New Roman" w:hAnsi="Times New Roman" w:cs="Times New Roman" w:hint="default"/>
                <w:b w:val="0"/>
                <w:bCs w:val="0"/>
                <w:sz w:val="21"/>
                <w:szCs w:val="21"/>
                <w:lang/>
              </w:rPr>
              <w:t>50</w:t>
            </w:r>
            <w:r>
              <w:rPr>
                <w:rStyle w:val="font31"/>
                <w:rFonts w:ascii="Times New Roman" w:hAnsi="Times New Roman" w:cs="Times New Roman" w:hint="default"/>
                <w:sz w:val="21"/>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019361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富国核心优势混合型发起式证券投资基金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019371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富国远见精选三年定期开放混合型证券投资基金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019561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富国致航量化选股股票型证券投资基金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020110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富国恒生港股通医疗保健交易型开放式指数证券投资基金发起式联接基金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020108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020095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159571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富国创业板中盘</w:t>
            </w:r>
            <w:r>
              <w:rPr>
                <w:rStyle w:val="font71"/>
                <w:rFonts w:ascii="Times New Roman" w:hAnsi="Times New Roman" w:cs="Times New Roman" w:hint="default"/>
                <w:b w:val="0"/>
                <w:bCs w:val="0"/>
                <w:sz w:val="21"/>
                <w:szCs w:val="21"/>
                <w:lang/>
              </w:rPr>
              <w:t>200</w:t>
            </w:r>
            <w:r>
              <w:rPr>
                <w:rStyle w:val="font31"/>
                <w:rFonts w:ascii="Times New Roman" w:hAnsi="Times New Roman" w:cs="Times New Roman" w:hint="default"/>
                <w:sz w:val="21"/>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019941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富国洞见价值股票型证券投资基金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020273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020401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富国安和</w:t>
            </w:r>
            <w:r>
              <w:rPr>
                <w:rStyle w:val="font71"/>
                <w:rFonts w:ascii="Times New Roman" w:hAnsi="Times New Roman" w:cs="Times New Roman" w:hint="default"/>
                <w:b w:val="0"/>
                <w:bCs w:val="0"/>
                <w:sz w:val="21"/>
                <w:szCs w:val="21"/>
                <w:lang/>
              </w:rPr>
              <w:t>120</w:t>
            </w:r>
            <w:r>
              <w:rPr>
                <w:rStyle w:val="font31"/>
                <w:rFonts w:ascii="Times New Roman" w:hAnsi="Times New Roman" w:cs="Times New Roman" w:hint="default"/>
                <w:sz w:val="21"/>
                <w:szCs w:val="21"/>
                <w:lang/>
              </w:rPr>
              <w:t>天滚动持有债券型发起式证券投资基金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020513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富国深证</w:t>
            </w:r>
            <w:r>
              <w:rPr>
                <w:rStyle w:val="font71"/>
                <w:rFonts w:ascii="Times New Roman" w:hAnsi="Times New Roman" w:cs="Times New Roman" w:hint="default"/>
                <w:b w:val="0"/>
                <w:bCs w:val="0"/>
                <w:sz w:val="21"/>
                <w:szCs w:val="21"/>
                <w:lang/>
              </w:rPr>
              <w:t>50</w:t>
            </w:r>
            <w:r>
              <w:rPr>
                <w:rStyle w:val="font31"/>
                <w:rFonts w:ascii="Times New Roman" w:hAnsi="Times New Roman" w:cs="Times New Roman" w:hint="default"/>
                <w:sz w:val="21"/>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019342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富国价值发现混合型证券投资基金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020667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富国创业板中盘</w:t>
            </w:r>
            <w:r>
              <w:rPr>
                <w:rStyle w:val="font71"/>
                <w:rFonts w:ascii="Times New Roman" w:hAnsi="Times New Roman" w:cs="Times New Roman" w:hint="default"/>
                <w:b w:val="0"/>
                <w:bCs w:val="0"/>
                <w:sz w:val="21"/>
                <w:szCs w:val="21"/>
                <w:lang/>
              </w:rPr>
              <w:t>200</w:t>
            </w:r>
            <w:r>
              <w:rPr>
                <w:rStyle w:val="font31"/>
                <w:rFonts w:ascii="Times New Roman" w:hAnsi="Times New Roman" w:cs="Times New Roman" w:hint="default"/>
                <w:sz w:val="21"/>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159591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富国中证</w:t>
            </w:r>
            <w:r>
              <w:rPr>
                <w:rStyle w:val="font71"/>
                <w:rFonts w:ascii="Times New Roman" w:hAnsi="Times New Roman" w:cs="Times New Roman" w:hint="default"/>
                <w:b w:val="0"/>
                <w:bCs w:val="0"/>
                <w:sz w:val="21"/>
                <w:szCs w:val="21"/>
                <w:lang/>
              </w:rPr>
              <w:t>A50</w:t>
            </w:r>
            <w:r>
              <w:rPr>
                <w:rStyle w:val="font31"/>
                <w:rFonts w:ascii="Times New Roman" w:hAnsi="Times New Roman" w:cs="Times New Roman" w:hint="default"/>
                <w:sz w:val="21"/>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019916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富国医药创新股票型证券投资基金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020811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富国盛利增强债券型发起式证券投资基金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563280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w:t>
            </w:r>
            <w:r>
              <w:rPr>
                <w:rStyle w:val="font71"/>
                <w:rFonts w:ascii="Times New Roman" w:hAnsi="Times New Roman" w:cs="Times New Roman" w:hint="default"/>
                <w:b w:val="0"/>
                <w:bCs w:val="0"/>
                <w:sz w:val="21"/>
                <w:szCs w:val="21"/>
                <w:lang/>
              </w:rPr>
              <w:t>MSCI</w:t>
            </w:r>
            <w:r>
              <w:rPr>
                <w:rStyle w:val="font31"/>
                <w:rFonts w:ascii="Times New Roman" w:hAnsi="Times New Roman" w:cs="Times New Roman" w:hint="default"/>
                <w:sz w:val="21"/>
                <w:szCs w:val="21"/>
                <w:lang/>
              </w:rPr>
              <w:t>中国</w:t>
            </w:r>
            <w:r>
              <w:rPr>
                <w:rStyle w:val="font71"/>
                <w:rFonts w:ascii="Times New Roman" w:hAnsi="Times New Roman" w:cs="Times New Roman" w:hint="default"/>
                <w:b w:val="0"/>
                <w:bCs w:val="0"/>
                <w:sz w:val="21"/>
                <w:szCs w:val="21"/>
                <w:lang/>
              </w:rPr>
              <w:t>A50</w:t>
            </w:r>
            <w:r>
              <w:rPr>
                <w:rStyle w:val="font31"/>
                <w:rFonts w:ascii="Times New Roman" w:hAnsi="Times New Roman" w:cs="Times New Roman" w:hint="default"/>
                <w:sz w:val="21"/>
                <w:szCs w:val="21"/>
                <w:lang/>
              </w:rPr>
              <w:t>互联互通增强策略交易型开放式指数证券投资基金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020519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富国瑞夏纯债债券型证券投资基金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富国中证</w:t>
            </w:r>
            <w:r>
              <w:rPr>
                <w:rStyle w:val="font71"/>
                <w:rFonts w:ascii="Times New Roman" w:hAnsi="Times New Roman" w:cs="Times New Roman" w:hint="default"/>
                <w:b w:val="0"/>
                <w:bCs w:val="0"/>
                <w:sz w:val="21"/>
                <w:szCs w:val="21"/>
                <w:lang/>
              </w:rPr>
              <w:t>A50</w:t>
            </w:r>
            <w:r>
              <w:rPr>
                <w:rStyle w:val="font31"/>
                <w:rFonts w:ascii="Times New Roman" w:hAnsi="Times New Roman" w:cs="Times New Roman" w:hint="default"/>
                <w:sz w:val="21"/>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021254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lang/>
              </w:rPr>
              <w:t>富国沪深</w:t>
            </w:r>
            <w:r>
              <w:rPr>
                <w:rStyle w:val="font71"/>
                <w:rFonts w:ascii="Times New Roman" w:hAnsi="Times New Roman" w:cs="Times New Roman" w:hint="default"/>
                <w:b w:val="0"/>
                <w:bCs w:val="0"/>
                <w:sz w:val="21"/>
                <w:szCs w:val="21"/>
                <w:lang/>
              </w:rPr>
              <w:t>300ESG</w:t>
            </w:r>
            <w:r>
              <w:rPr>
                <w:rStyle w:val="font31"/>
                <w:rFonts w:ascii="Times New Roman" w:hAnsi="Times New Roman" w:cs="Times New Roman" w:hint="default"/>
                <w:sz w:val="21"/>
                <w:szCs w:val="21"/>
                <w:lang/>
              </w:rPr>
              <w:t>基准交易型开放式指数证券投资基金发起式联接基金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021280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021327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019347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富国匠心成长混合型证券投资基金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159528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159525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021450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富国医疗产业混合型发起式证券投资基金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159300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019960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富国远见价值混合型证券投资基金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021245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159583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021811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159332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021642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富国资源精选混合型发起式证券投资基金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021513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富国港股通红利精选混合型证券投资基金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021933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021548</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富国稳健双鑫债券型证券投资基金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563220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021832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021243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021707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022463</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021329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指数型发起式证券投资基金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022764</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富国中债优选投资级信用债指数发起式证券投资基金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022379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富国安泽债券型证券投资基金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588810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563210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023055</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022676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指数增强型证券投资基金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159371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588960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023237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富国安嘉</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天滚动持有债券型发起式证券投资基金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022202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富国盈和臻选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589600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023296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富国安阳</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022846</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富国景气优选混合型证券投资基金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023057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富国安怡</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天持有期债券型发起式证券投资基金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023651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159211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023737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023129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富国致盛量化选股股票型证券投资基金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023859</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563990</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022597</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富国红利质选混合型证券投资基金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023851</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富国上证科创板新能源交易型开放式指数证券投资基金发起式联接基金</w:t>
            </w:r>
          </w:p>
        </w:tc>
      </w:tr>
      <w:tr w:rsidR="00DD36EF">
        <w:trPr>
          <w:trHeight w:val="280"/>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DD36EF">
            <w:pPr>
              <w:widowControl/>
              <w:numPr>
                <w:ilvl w:val="0"/>
                <w:numId w:val="1"/>
              </w:numPr>
              <w:jc w:val="center"/>
              <w:textAlignment w:val="center"/>
              <w:rPr>
                <w:rFonts w:ascii="宋体" w:eastAsia="宋体" w:hAnsi="宋体" w:cs="宋体"/>
                <w:color w:val="000000"/>
                <w:kern w:val="0"/>
                <w:szCs w:val="21"/>
                <w:lang/>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159392</w:t>
            </w:r>
          </w:p>
        </w:tc>
        <w:tc>
          <w:tcPr>
            <w:tcW w:w="6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36EF" w:rsidRDefault="000B3BB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w:t>
            </w:r>
          </w:p>
        </w:tc>
      </w:tr>
    </w:tbl>
    <w:p w:rsidR="00DD36EF" w:rsidRDefault="000B3BB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DD36EF" w:rsidRDefault="000B3BB4">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DD36EF" w:rsidRDefault="000B3BB4">
      <w:pPr>
        <w:spacing w:line="360" w:lineRule="auto"/>
        <w:ind w:firstLineChars="200"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富国基金管理有限公司</w:t>
      </w:r>
    </w:p>
    <w:p w:rsidR="00DD36EF" w:rsidRDefault="000B3BB4">
      <w:pPr>
        <w:spacing w:line="360" w:lineRule="auto"/>
        <w:ind w:firstLineChars="200"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7</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21</w:t>
      </w:r>
      <w:r>
        <w:rPr>
          <w:rFonts w:asciiTheme="minorEastAsia" w:hAnsiTheme="minorEastAsia" w:hint="eastAsia"/>
          <w:color w:val="000000" w:themeColor="text1"/>
          <w:sz w:val="24"/>
          <w:szCs w:val="24"/>
        </w:rPr>
        <w:t>日</w:t>
      </w:r>
    </w:p>
    <w:sectPr w:rsidR="00DD36EF" w:rsidSect="00DD36EF">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6EF" w:rsidRDefault="00DD36EF" w:rsidP="00DD36EF">
      <w:r>
        <w:separator/>
      </w:r>
    </w:p>
  </w:endnote>
  <w:endnote w:type="continuationSeparator" w:id="0">
    <w:p w:rsidR="00DD36EF" w:rsidRDefault="00DD36EF" w:rsidP="00DD3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DD36EF" w:rsidRDefault="00DD36EF">
        <w:pPr>
          <w:pStyle w:val="a5"/>
          <w:jc w:val="center"/>
        </w:pPr>
        <w:r>
          <w:fldChar w:fldCharType="begin"/>
        </w:r>
        <w:r w:rsidR="000B3BB4">
          <w:instrText>PAGE   \* MERGEFORMAT</w:instrText>
        </w:r>
        <w:r>
          <w:fldChar w:fldCharType="separate"/>
        </w:r>
        <w:r w:rsidR="000B3BB4" w:rsidRPr="000B3BB4">
          <w:rPr>
            <w:noProof/>
            <w:lang w:val="zh-CN"/>
          </w:rPr>
          <w:t>2</w:t>
        </w:r>
        <w:r>
          <w:fldChar w:fldCharType="end"/>
        </w:r>
      </w:p>
    </w:sdtContent>
  </w:sdt>
  <w:p w:rsidR="00DD36EF" w:rsidRDefault="00DD36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DD36EF" w:rsidRDefault="00DD36EF">
        <w:pPr>
          <w:pStyle w:val="a5"/>
          <w:jc w:val="center"/>
        </w:pPr>
        <w:r>
          <w:fldChar w:fldCharType="begin"/>
        </w:r>
        <w:r w:rsidR="000B3BB4">
          <w:instrText>PAGE   \* MERGEFORMAT</w:instrText>
        </w:r>
        <w:r>
          <w:fldChar w:fldCharType="separate"/>
        </w:r>
        <w:r w:rsidR="000B3BB4" w:rsidRPr="000B3BB4">
          <w:rPr>
            <w:noProof/>
            <w:lang w:val="zh-CN"/>
          </w:rPr>
          <w:t>1</w:t>
        </w:r>
        <w:r>
          <w:fldChar w:fldCharType="end"/>
        </w:r>
      </w:p>
    </w:sdtContent>
  </w:sdt>
  <w:p w:rsidR="00DD36EF" w:rsidRDefault="00DD36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6EF" w:rsidRDefault="00DD36EF" w:rsidP="00DD36EF">
      <w:r>
        <w:separator/>
      </w:r>
    </w:p>
  </w:footnote>
  <w:footnote w:type="continuationSeparator" w:id="0">
    <w:p w:rsidR="00DD36EF" w:rsidRDefault="00DD36EF" w:rsidP="00DD3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E018C1"/>
    <w:multiLevelType w:val="singleLevel"/>
    <w:tmpl w:val="B6E018C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01E0"/>
    <w:rsid w:val="00022ABD"/>
    <w:rsid w:val="00025D40"/>
    <w:rsid w:val="00025D97"/>
    <w:rsid w:val="000300E5"/>
    <w:rsid w:val="0003246C"/>
    <w:rsid w:val="00033010"/>
    <w:rsid w:val="00033204"/>
    <w:rsid w:val="000475F0"/>
    <w:rsid w:val="000539F6"/>
    <w:rsid w:val="00056EE0"/>
    <w:rsid w:val="00057323"/>
    <w:rsid w:val="00065184"/>
    <w:rsid w:val="00070EBA"/>
    <w:rsid w:val="0008010F"/>
    <w:rsid w:val="00081ADE"/>
    <w:rsid w:val="00084E7D"/>
    <w:rsid w:val="00087988"/>
    <w:rsid w:val="00087FC0"/>
    <w:rsid w:val="0009227A"/>
    <w:rsid w:val="00093E55"/>
    <w:rsid w:val="00094EC3"/>
    <w:rsid w:val="00094F20"/>
    <w:rsid w:val="000958C0"/>
    <w:rsid w:val="0009755F"/>
    <w:rsid w:val="000A0272"/>
    <w:rsid w:val="000A0ECE"/>
    <w:rsid w:val="000A588E"/>
    <w:rsid w:val="000B3BB4"/>
    <w:rsid w:val="000B53A5"/>
    <w:rsid w:val="000C06E1"/>
    <w:rsid w:val="000C1032"/>
    <w:rsid w:val="000C7607"/>
    <w:rsid w:val="000D18EF"/>
    <w:rsid w:val="000D2ABD"/>
    <w:rsid w:val="000E117D"/>
    <w:rsid w:val="000E13E9"/>
    <w:rsid w:val="000E7D66"/>
    <w:rsid w:val="000F07E6"/>
    <w:rsid w:val="000F407E"/>
    <w:rsid w:val="000F6458"/>
    <w:rsid w:val="001039BC"/>
    <w:rsid w:val="00110CA7"/>
    <w:rsid w:val="001279BE"/>
    <w:rsid w:val="0013251E"/>
    <w:rsid w:val="001445A9"/>
    <w:rsid w:val="00146307"/>
    <w:rsid w:val="001533B2"/>
    <w:rsid w:val="001574A9"/>
    <w:rsid w:val="001614EB"/>
    <w:rsid w:val="001623CF"/>
    <w:rsid w:val="00164A88"/>
    <w:rsid w:val="00165D5C"/>
    <w:rsid w:val="00166B15"/>
    <w:rsid w:val="00174C8C"/>
    <w:rsid w:val="0017571E"/>
    <w:rsid w:val="00175AED"/>
    <w:rsid w:val="00191702"/>
    <w:rsid w:val="00192262"/>
    <w:rsid w:val="0019765D"/>
    <w:rsid w:val="001A593B"/>
    <w:rsid w:val="001C5D23"/>
    <w:rsid w:val="001D04AB"/>
    <w:rsid w:val="001D2521"/>
    <w:rsid w:val="001D74AE"/>
    <w:rsid w:val="001E346F"/>
    <w:rsid w:val="001E7CAD"/>
    <w:rsid w:val="001F125D"/>
    <w:rsid w:val="001F15CB"/>
    <w:rsid w:val="001F39FE"/>
    <w:rsid w:val="001F533E"/>
    <w:rsid w:val="001F5D93"/>
    <w:rsid w:val="001F7923"/>
    <w:rsid w:val="0021172E"/>
    <w:rsid w:val="00221DE2"/>
    <w:rsid w:val="00234298"/>
    <w:rsid w:val="002343BD"/>
    <w:rsid w:val="002444C8"/>
    <w:rsid w:val="002471D4"/>
    <w:rsid w:val="00253326"/>
    <w:rsid w:val="00261CDE"/>
    <w:rsid w:val="0026276F"/>
    <w:rsid w:val="002766D5"/>
    <w:rsid w:val="00276CA4"/>
    <w:rsid w:val="002823E9"/>
    <w:rsid w:val="00282A7F"/>
    <w:rsid w:val="00283ECA"/>
    <w:rsid w:val="00284E14"/>
    <w:rsid w:val="00293DE4"/>
    <w:rsid w:val="002941EC"/>
    <w:rsid w:val="00296096"/>
    <w:rsid w:val="00296303"/>
    <w:rsid w:val="002968AB"/>
    <w:rsid w:val="002970F7"/>
    <w:rsid w:val="002A1F54"/>
    <w:rsid w:val="002A4FF0"/>
    <w:rsid w:val="002B0960"/>
    <w:rsid w:val="002B144C"/>
    <w:rsid w:val="002B16F4"/>
    <w:rsid w:val="002B2DA0"/>
    <w:rsid w:val="002B7B4F"/>
    <w:rsid w:val="002C5D36"/>
    <w:rsid w:val="002D13CA"/>
    <w:rsid w:val="002E24D1"/>
    <w:rsid w:val="002E79D9"/>
    <w:rsid w:val="002E7B0A"/>
    <w:rsid w:val="002F2B53"/>
    <w:rsid w:val="002F2D19"/>
    <w:rsid w:val="002F58AF"/>
    <w:rsid w:val="002F7219"/>
    <w:rsid w:val="00303860"/>
    <w:rsid w:val="00310D04"/>
    <w:rsid w:val="00311075"/>
    <w:rsid w:val="003117E6"/>
    <w:rsid w:val="00312D45"/>
    <w:rsid w:val="0031471A"/>
    <w:rsid w:val="00315E09"/>
    <w:rsid w:val="00332619"/>
    <w:rsid w:val="00333802"/>
    <w:rsid w:val="003467B5"/>
    <w:rsid w:val="00346E3D"/>
    <w:rsid w:val="00355B7C"/>
    <w:rsid w:val="00361065"/>
    <w:rsid w:val="0036248F"/>
    <w:rsid w:val="003828E8"/>
    <w:rsid w:val="00382BCB"/>
    <w:rsid w:val="00390B3B"/>
    <w:rsid w:val="00391944"/>
    <w:rsid w:val="00393949"/>
    <w:rsid w:val="003948AF"/>
    <w:rsid w:val="00394BBC"/>
    <w:rsid w:val="003A4AC6"/>
    <w:rsid w:val="003B1A4D"/>
    <w:rsid w:val="003B62CD"/>
    <w:rsid w:val="003C23F1"/>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4238F"/>
    <w:rsid w:val="004424D3"/>
    <w:rsid w:val="004465A9"/>
    <w:rsid w:val="00452A46"/>
    <w:rsid w:val="00454581"/>
    <w:rsid w:val="00454978"/>
    <w:rsid w:val="00461FDF"/>
    <w:rsid w:val="00467E81"/>
    <w:rsid w:val="004744B6"/>
    <w:rsid w:val="004748B9"/>
    <w:rsid w:val="00474CBB"/>
    <w:rsid w:val="00477BA8"/>
    <w:rsid w:val="00477EB2"/>
    <w:rsid w:val="0048111A"/>
    <w:rsid w:val="00485A39"/>
    <w:rsid w:val="00485D30"/>
    <w:rsid w:val="00487BF1"/>
    <w:rsid w:val="00491FCB"/>
    <w:rsid w:val="00497943"/>
    <w:rsid w:val="00497A8B"/>
    <w:rsid w:val="004A0E45"/>
    <w:rsid w:val="004A54A6"/>
    <w:rsid w:val="004B1105"/>
    <w:rsid w:val="004B281A"/>
    <w:rsid w:val="004C3109"/>
    <w:rsid w:val="004C44C4"/>
    <w:rsid w:val="004C625A"/>
    <w:rsid w:val="004C6355"/>
    <w:rsid w:val="004C6B40"/>
    <w:rsid w:val="004E1D5E"/>
    <w:rsid w:val="004E630B"/>
    <w:rsid w:val="004F7313"/>
    <w:rsid w:val="005158A6"/>
    <w:rsid w:val="0052094C"/>
    <w:rsid w:val="00520AF6"/>
    <w:rsid w:val="005339DE"/>
    <w:rsid w:val="00534A41"/>
    <w:rsid w:val="00536156"/>
    <w:rsid w:val="0053650E"/>
    <w:rsid w:val="00537D75"/>
    <w:rsid w:val="00542535"/>
    <w:rsid w:val="00544E6E"/>
    <w:rsid w:val="00547910"/>
    <w:rsid w:val="00551033"/>
    <w:rsid w:val="00557C18"/>
    <w:rsid w:val="00557C66"/>
    <w:rsid w:val="00557E23"/>
    <w:rsid w:val="00560AC4"/>
    <w:rsid w:val="00563FE4"/>
    <w:rsid w:val="00567A02"/>
    <w:rsid w:val="005711D9"/>
    <w:rsid w:val="005751C6"/>
    <w:rsid w:val="00582D8F"/>
    <w:rsid w:val="005837B0"/>
    <w:rsid w:val="00596AC1"/>
    <w:rsid w:val="005A408B"/>
    <w:rsid w:val="005A46AE"/>
    <w:rsid w:val="005A5700"/>
    <w:rsid w:val="005A77EA"/>
    <w:rsid w:val="005B5746"/>
    <w:rsid w:val="005C00AF"/>
    <w:rsid w:val="005C05E1"/>
    <w:rsid w:val="005C7C95"/>
    <w:rsid w:val="005D044D"/>
    <w:rsid w:val="005D3C24"/>
    <w:rsid w:val="005D4528"/>
    <w:rsid w:val="005E088E"/>
    <w:rsid w:val="005E0F00"/>
    <w:rsid w:val="005E62F4"/>
    <w:rsid w:val="005F0B9B"/>
    <w:rsid w:val="005F43AB"/>
    <w:rsid w:val="005F4D9C"/>
    <w:rsid w:val="005F7E5C"/>
    <w:rsid w:val="00604996"/>
    <w:rsid w:val="00605B67"/>
    <w:rsid w:val="006163B1"/>
    <w:rsid w:val="00616874"/>
    <w:rsid w:val="0062589F"/>
    <w:rsid w:val="00626EA8"/>
    <w:rsid w:val="00641423"/>
    <w:rsid w:val="00641CEA"/>
    <w:rsid w:val="00643747"/>
    <w:rsid w:val="0065080E"/>
    <w:rsid w:val="00653AEC"/>
    <w:rsid w:val="00654739"/>
    <w:rsid w:val="00655229"/>
    <w:rsid w:val="00656B0C"/>
    <w:rsid w:val="0066309A"/>
    <w:rsid w:val="0066627D"/>
    <w:rsid w:val="006832A2"/>
    <w:rsid w:val="00684A20"/>
    <w:rsid w:val="00690EC4"/>
    <w:rsid w:val="006962CB"/>
    <w:rsid w:val="006A0BB0"/>
    <w:rsid w:val="006A278F"/>
    <w:rsid w:val="006A7F42"/>
    <w:rsid w:val="006B4697"/>
    <w:rsid w:val="006C5302"/>
    <w:rsid w:val="006D17EF"/>
    <w:rsid w:val="006D7D66"/>
    <w:rsid w:val="006E4941"/>
    <w:rsid w:val="006E55E9"/>
    <w:rsid w:val="006E5DE5"/>
    <w:rsid w:val="006E6239"/>
    <w:rsid w:val="006E6B6E"/>
    <w:rsid w:val="006E7335"/>
    <w:rsid w:val="006F1E9F"/>
    <w:rsid w:val="006F6724"/>
    <w:rsid w:val="0070004D"/>
    <w:rsid w:val="007006AE"/>
    <w:rsid w:val="00702423"/>
    <w:rsid w:val="00702449"/>
    <w:rsid w:val="00702F48"/>
    <w:rsid w:val="00705694"/>
    <w:rsid w:val="00706133"/>
    <w:rsid w:val="00714CEA"/>
    <w:rsid w:val="007159A1"/>
    <w:rsid w:val="0071642F"/>
    <w:rsid w:val="007201B1"/>
    <w:rsid w:val="00722DD7"/>
    <w:rsid w:val="00725827"/>
    <w:rsid w:val="00725F68"/>
    <w:rsid w:val="0073075C"/>
    <w:rsid w:val="007315E0"/>
    <w:rsid w:val="00736EFA"/>
    <w:rsid w:val="0074044A"/>
    <w:rsid w:val="0074144B"/>
    <w:rsid w:val="00741A3E"/>
    <w:rsid w:val="007443C2"/>
    <w:rsid w:val="00754A2C"/>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79C4"/>
    <w:rsid w:val="007F136D"/>
    <w:rsid w:val="007F60CB"/>
    <w:rsid w:val="00801AAB"/>
    <w:rsid w:val="00806597"/>
    <w:rsid w:val="00807381"/>
    <w:rsid w:val="0080773A"/>
    <w:rsid w:val="00816DF3"/>
    <w:rsid w:val="0081788D"/>
    <w:rsid w:val="00825398"/>
    <w:rsid w:val="008263AE"/>
    <w:rsid w:val="008307A6"/>
    <w:rsid w:val="008318C0"/>
    <w:rsid w:val="00831A29"/>
    <w:rsid w:val="00832B61"/>
    <w:rsid w:val="008353DC"/>
    <w:rsid w:val="00835A88"/>
    <w:rsid w:val="00847A69"/>
    <w:rsid w:val="008538ED"/>
    <w:rsid w:val="008619E1"/>
    <w:rsid w:val="00866E5A"/>
    <w:rsid w:val="00871F6C"/>
    <w:rsid w:val="008721DF"/>
    <w:rsid w:val="008738A9"/>
    <w:rsid w:val="00876EC6"/>
    <w:rsid w:val="00881C77"/>
    <w:rsid w:val="00882FB0"/>
    <w:rsid w:val="008839E0"/>
    <w:rsid w:val="00887017"/>
    <w:rsid w:val="0089028B"/>
    <w:rsid w:val="00891007"/>
    <w:rsid w:val="008A110F"/>
    <w:rsid w:val="008A1AFA"/>
    <w:rsid w:val="008A2CE2"/>
    <w:rsid w:val="008A3460"/>
    <w:rsid w:val="008B539C"/>
    <w:rsid w:val="008B77D5"/>
    <w:rsid w:val="008C155D"/>
    <w:rsid w:val="008C7377"/>
    <w:rsid w:val="008D4634"/>
    <w:rsid w:val="008D5C6F"/>
    <w:rsid w:val="008D64DC"/>
    <w:rsid w:val="008E4CD7"/>
    <w:rsid w:val="008E58F7"/>
    <w:rsid w:val="008E6EC1"/>
    <w:rsid w:val="008F1E9E"/>
    <w:rsid w:val="00903815"/>
    <w:rsid w:val="00903C0A"/>
    <w:rsid w:val="009062C4"/>
    <w:rsid w:val="0090723B"/>
    <w:rsid w:val="00910193"/>
    <w:rsid w:val="00910639"/>
    <w:rsid w:val="0092312D"/>
    <w:rsid w:val="00933628"/>
    <w:rsid w:val="00940A4A"/>
    <w:rsid w:val="009465EA"/>
    <w:rsid w:val="009506DC"/>
    <w:rsid w:val="009566C4"/>
    <w:rsid w:val="00956DD9"/>
    <w:rsid w:val="009628AE"/>
    <w:rsid w:val="0096678F"/>
    <w:rsid w:val="00967A04"/>
    <w:rsid w:val="00973509"/>
    <w:rsid w:val="00977BBE"/>
    <w:rsid w:val="00977E7B"/>
    <w:rsid w:val="00982852"/>
    <w:rsid w:val="00986792"/>
    <w:rsid w:val="009871EF"/>
    <w:rsid w:val="00991292"/>
    <w:rsid w:val="00991AEE"/>
    <w:rsid w:val="0099252E"/>
    <w:rsid w:val="00993CBF"/>
    <w:rsid w:val="00997D63"/>
    <w:rsid w:val="009A0D41"/>
    <w:rsid w:val="009A149B"/>
    <w:rsid w:val="009B33C8"/>
    <w:rsid w:val="009B5089"/>
    <w:rsid w:val="009B5D57"/>
    <w:rsid w:val="009C0DDA"/>
    <w:rsid w:val="009C0EFC"/>
    <w:rsid w:val="009C15E2"/>
    <w:rsid w:val="009C33BF"/>
    <w:rsid w:val="009C3820"/>
    <w:rsid w:val="009C5AE1"/>
    <w:rsid w:val="009D6752"/>
    <w:rsid w:val="009E35EB"/>
    <w:rsid w:val="009E5899"/>
    <w:rsid w:val="009E64F2"/>
    <w:rsid w:val="009E7875"/>
    <w:rsid w:val="009F72D1"/>
    <w:rsid w:val="00A03DBF"/>
    <w:rsid w:val="00A06861"/>
    <w:rsid w:val="00A144A6"/>
    <w:rsid w:val="00A21627"/>
    <w:rsid w:val="00A37A94"/>
    <w:rsid w:val="00A37CF6"/>
    <w:rsid w:val="00A41611"/>
    <w:rsid w:val="00A441B7"/>
    <w:rsid w:val="00A447AF"/>
    <w:rsid w:val="00A46430"/>
    <w:rsid w:val="00A5780A"/>
    <w:rsid w:val="00A6230B"/>
    <w:rsid w:val="00A62B15"/>
    <w:rsid w:val="00A63901"/>
    <w:rsid w:val="00A63F21"/>
    <w:rsid w:val="00A7247E"/>
    <w:rsid w:val="00A72BFA"/>
    <w:rsid w:val="00A72FCD"/>
    <w:rsid w:val="00A74844"/>
    <w:rsid w:val="00A75E74"/>
    <w:rsid w:val="00A81D7B"/>
    <w:rsid w:val="00A87DCB"/>
    <w:rsid w:val="00A9090E"/>
    <w:rsid w:val="00A923E0"/>
    <w:rsid w:val="00A9673C"/>
    <w:rsid w:val="00AA4D1D"/>
    <w:rsid w:val="00AB49A1"/>
    <w:rsid w:val="00AC1161"/>
    <w:rsid w:val="00AD18DD"/>
    <w:rsid w:val="00AD562B"/>
    <w:rsid w:val="00AD6B43"/>
    <w:rsid w:val="00AD7575"/>
    <w:rsid w:val="00AD7E34"/>
    <w:rsid w:val="00AE3F47"/>
    <w:rsid w:val="00AE5AA4"/>
    <w:rsid w:val="00AE69BF"/>
    <w:rsid w:val="00AF06BF"/>
    <w:rsid w:val="00AF7347"/>
    <w:rsid w:val="00B00042"/>
    <w:rsid w:val="00B007DE"/>
    <w:rsid w:val="00B014DF"/>
    <w:rsid w:val="00B11B77"/>
    <w:rsid w:val="00B16987"/>
    <w:rsid w:val="00B17EF5"/>
    <w:rsid w:val="00B2068A"/>
    <w:rsid w:val="00B23F95"/>
    <w:rsid w:val="00B25BAB"/>
    <w:rsid w:val="00B26285"/>
    <w:rsid w:val="00B33F4A"/>
    <w:rsid w:val="00B41297"/>
    <w:rsid w:val="00B50423"/>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87F"/>
    <w:rsid w:val="00BA34FC"/>
    <w:rsid w:val="00BA3697"/>
    <w:rsid w:val="00BA3915"/>
    <w:rsid w:val="00BA3AE4"/>
    <w:rsid w:val="00BA3FCC"/>
    <w:rsid w:val="00BB1203"/>
    <w:rsid w:val="00BB3501"/>
    <w:rsid w:val="00BB3A06"/>
    <w:rsid w:val="00BB7A7F"/>
    <w:rsid w:val="00BC3F72"/>
    <w:rsid w:val="00BC50B1"/>
    <w:rsid w:val="00BC64B2"/>
    <w:rsid w:val="00BC662F"/>
    <w:rsid w:val="00BC6FFD"/>
    <w:rsid w:val="00BC778B"/>
    <w:rsid w:val="00BC7AFE"/>
    <w:rsid w:val="00BD1958"/>
    <w:rsid w:val="00BD3CFA"/>
    <w:rsid w:val="00BD4CFD"/>
    <w:rsid w:val="00BD4DE1"/>
    <w:rsid w:val="00BD7393"/>
    <w:rsid w:val="00BD7C42"/>
    <w:rsid w:val="00BE2CDD"/>
    <w:rsid w:val="00BE6EA1"/>
    <w:rsid w:val="00BF1954"/>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4991"/>
    <w:rsid w:val="00C3553B"/>
    <w:rsid w:val="00C375E3"/>
    <w:rsid w:val="00C44634"/>
    <w:rsid w:val="00C45644"/>
    <w:rsid w:val="00C47D65"/>
    <w:rsid w:val="00C51B56"/>
    <w:rsid w:val="00C5361C"/>
    <w:rsid w:val="00C53B3E"/>
    <w:rsid w:val="00C61988"/>
    <w:rsid w:val="00C64316"/>
    <w:rsid w:val="00C67F89"/>
    <w:rsid w:val="00C71F74"/>
    <w:rsid w:val="00C73CFC"/>
    <w:rsid w:val="00C7490E"/>
    <w:rsid w:val="00C75104"/>
    <w:rsid w:val="00C77793"/>
    <w:rsid w:val="00C81CAD"/>
    <w:rsid w:val="00C84743"/>
    <w:rsid w:val="00C859CF"/>
    <w:rsid w:val="00C85EDC"/>
    <w:rsid w:val="00C86E10"/>
    <w:rsid w:val="00C870EF"/>
    <w:rsid w:val="00C9160A"/>
    <w:rsid w:val="00C972C4"/>
    <w:rsid w:val="00CA1FEF"/>
    <w:rsid w:val="00CA25FC"/>
    <w:rsid w:val="00CA6A56"/>
    <w:rsid w:val="00CA7BAA"/>
    <w:rsid w:val="00CB2CEE"/>
    <w:rsid w:val="00CB4DE3"/>
    <w:rsid w:val="00CC2F35"/>
    <w:rsid w:val="00CC33C8"/>
    <w:rsid w:val="00CC40C3"/>
    <w:rsid w:val="00CD3160"/>
    <w:rsid w:val="00CD42C4"/>
    <w:rsid w:val="00CE43F8"/>
    <w:rsid w:val="00CE7C8B"/>
    <w:rsid w:val="00CF01CC"/>
    <w:rsid w:val="00CF6D5C"/>
    <w:rsid w:val="00D01F71"/>
    <w:rsid w:val="00D05106"/>
    <w:rsid w:val="00D10B1F"/>
    <w:rsid w:val="00D11E1F"/>
    <w:rsid w:val="00D13130"/>
    <w:rsid w:val="00D165EA"/>
    <w:rsid w:val="00D20C81"/>
    <w:rsid w:val="00D317E1"/>
    <w:rsid w:val="00D3262F"/>
    <w:rsid w:val="00D34B21"/>
    <w:rsid w:val="00D361FE"/>
    <w:rsid w:val="00D36E74"/>
    <w:rsid w:val="00D42F13"/>
    <w:rsid w:val="00D43B3D"/>
    <w:rsid w:val="00D459E8"/>
    <w:rsid w:val="00D5035D"/>
    <w:rsid w:val="00D5213E"/>
    <w:rsid w:val="00D52A3F"/>
    <w:rsid w:val="00D535B2"/>
    <w:rsid w:val="00D56E0D"/>
    <w:rsid w:val="00D62A71"/>
    <w:rsid w:val="00D70A3B"/>
    <w:rsid w:val="00D72110"/>
    <w:rsid w:val="00D77206"/>
    <w:rsid w:val="00D919AF"/>
    <w:rsid w:val="00D937BD"/>
    <w:rsid w:val="00DA176C"/>
    <w:rsid w:val="00DA2D7C"/>
    <w:rsid w:val="00DB3685"/>
    <w:rsid w:val="00DB6C9E"/>
    <w:rsid w:val="00DB6F0A"/>
    <w:rsid w:val="00DC3AEA"/>
    <w:rsid w:val="00DD36EF"/>
    <w:rsid w:val="00DD7BAA"/>
    <w:rsid w:val="00DE0FFA"/>
    <w:rsid w:val="00DE6A70"/>
    <w:rsid w:val="00DF3DF3"/>
    <w:rsid w:val="00DF5AA8"/>
    <w:rsid w:val="00DF5DDF"/>
    <w:rsid w:val="00E065F5"/>
    <w:rsid w:val="00E11D7D"/>
    <w:rsid w:val="00E1254C"/>
    <w:rsid w:val="00E16895"/>
    <w:rsid w:val="00E2306F"/>
    <w:rsid w:val="00E27F4F"/>
    <w:rsid w:val="00E32614"/>
    <w:rsid w:val="00E33250"/>
    <w:rsid w:val="00E33A52"/>
    <w:rsid w:val="00E3526B"/>
    <w:rsid w:val="00E5059C"/>
    <w:rsid w:val="00E54C06"/>
    <w:rsid w:val="00E5664A"/>
    <w:rsid w:val="00E676B1"/>
    <w:rsid w:val="00E7407A"/>
    <w:rsid w:val="00E81A0A"/>
    <w:rsid w:val="00E8568B"/>
    <w:rsid w:val="00E964F7"/>
    <w:rsid w:val="00EA461A"/>
    <w:rsid w:val="00EA6F84"/>
    <w:rsid w:val="00EB7931"/>
    <w:rsid w:val="00ED4681"/>
    <w:rsid w:val="00ED548C"/>
    <w:rsid w:val="00ED7F3F"/>
    <w:rsid w:val="00EE5FF0"/>
    <w:rsid w:val="00EF043C"/>
    <w:rsid w:val="00EF409C"/>
    <w:rsid w:val="00EF49B3"/>
    <w:rsid w:val="00EF56E1"/>
    <w:rsid w:val="00EF73FD"/>
    <w:rsid w:val="00F00561"/>
    <w:rsid w:val="00F01150"/>
    <w:rsid w:val="00F01CDF"/>
    <w:rsid w:val="00F01E3D"/>
    <w:rsid w:val="00F0215F"/>
    <w:rsid w:val="00F04147"/>
    <w:rsid w:val="00F04DC2"/>
    <w:rsid w:val="00F066D9"/>
    <w:rsid w:val="00F1095D"/>
    <w:rsid w:val="00F15F73"/>
    <w:rsid w:val="00F24630"/>
    <w:rsid w:val="00F25F52"/>
    <w:rsid w:val="00F36E25"/>
    <w:rsid w:val="00F37FC9"/>
    <w:rsid w:val="00F469D5"/>
    <w:rsid w:val="00F47FEE"/>
    <w:rsid w:val="00F51B09"/>
    <w:rsid w:val="00F527B3"/>
    <w:rsid w:val="00F632AF"/>
    <w:rsid w:val="00F6382D"/>
    <w:rsid w:val="00F63F55"/>
    <w:rsid w:val="00F66378"/>
    <w:rsid w:val="00F675F0"/>
    <w:rsid w:val="00F71C51"/>
    <w:rsid w:val="00F765B7"/>
    <w:rsid w:val="00F77ADA"/>
    <w:rsid w:val="00F77F4B"/>
    <w:rsid w:val="00F9100C"/>
    <w:rsid w:val="00FA0934"/>
    <w:rsid w:val="00FA653D"/>
    <w:rsid w:val="00FB0BE0"/>
    <w:rsid w:val="00FB23EE"/>
    <w:rsid w:val="00FB3788"/>
    <w:rsid w:val="00FC14DA"/>
    <w:rsid w:val="00FC34DF"/>
    <w:rsid w:val="00FD3C47"/>
    <w:rsid w:val="00FD658E"/>
    <w:rsid w:val="00FE0C5A"/>
    <w:rsid w:val="00FE13A2"/>
    <w:rsid w:val="00FE3B48"/>
    <w:rsid w:val="00FF2CDE"/>
    <w:rsid w:val="05E24B4C"/>
    <w:rsid w:val="07D155B5"/>
    <w:rsid w:val="08D11B99"/>
    <w:rsid w:val="2A085AF4"/>
    <w:rsid w:val="2B2146AF"/>
    <w:rsid w:val="2CA51C96"/>
    <w:rsid w:val="5418401E"/>
    <w:rsid w:val="74E54510"/>
    <w:rsid w:val="76C30E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6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D36EF"/>
    <w:pPr>
      <w:jc w:val="left"/>
    </w:pPr>
  </w:style>
  <w:style w:type="paragraph" w:styleId="a4">
    <w:name w:val="Balloon Text"/>
    <w:basedOn w:val="a"/>
    <w:link w:val="Char0"/>
    <w:uiPriority w:val="99"/>
    <w:semiHidden/>
    <w:unhideWhenUsed/>
    <w:qFormat/>
    <w:rsid w:val="00DD36EF"/>
    <w:rPr>
      <w:sz w:val="18"/>
      <w:szCs w:val="18"/>
    </w:rPr>
  </w:style>
  <w:style w:type="paragraph" w:styleId="a5">
    <w:name w:val="footer"/>
    <w:basedOn w:val="a"/>
    <w:link w:val="Char1"/>
    <w:uiPriority w:val="99"/>
    <w:unhideWhenUsed/>
    <w:qFormat/>
    <w:rsid w:val="00DD36E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D36E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DD36EF"/>
    <w:pPr>
      <w:snapToGrid w:val="0"/>
      <w:jc w:val="left"/>
    </w:pPr>
    <w:rPr>
      <w:sz w:val="18"/>
      <w:szCs w:val="18"/>
    </w:rPr>
  </w:style>
  <w:style w:type="paragraph" w:styleId="a8">
    <w:name w:val="annotation subject"/>
    <w:basedOn w:val="a3"/>
    <w:next w:val="a3"/>
    <w:link w:val="Char4"/>
    <w:uiPriority w:val="99"/>
    <w:semiHidden/>
    <w:unhideWhenUsed/>
    <w:qFormat/>
    <w:rsid w:val="00DD36EF"/>
    <w:rPr>
      <w:b/>
      <w:bCs/>
    </w:rPr>
  </w:style>
  <w:style w:type="table" w:styleId="a9">
    <w:name w:val="Table Grid"/>
    <w:basedOn w:val="a1"/>
    <w:uiPriority w:val="59"/>
    <w:qFormat/>
    <w:rsid w:val="00DD3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DD36EF"/>
    <w:rPr>
      <w:color w:val="0000FF" w:themeColor="hyperlink"/>
      <w:u w:val="single"/>
    </w:rPr>
  </w:style>
  <w:style w:type="character" w:styleId="ab">
    <w:name w:val="annotation reference"/>
    <w:basedOn w:val="a0"/>
    <w:uiPriority w:val="99"/>
    <w:semiHidden/>
    <w:unhideWhenUsed/>
    <w:qFormat/>
    <w:rsid w:val="00DD36EF"/>
    <w:rPr>
      <w:sz w:val="21"/>
      <w:szCs w:val="21"/>
    </w:rPr>
  </w:style>
  <w:style w:type="character" w:styleId="ac">
    <w:name w:val="footnote reference"/>
    <w:basedOn w:val="a0"/>
    <w:uiPriority w:val="99"/>
    <w:semiHidden/>
    <w:unhideWhenUsed/>
    <w:qFormat/>
    <w:rsid w:val="00DD36EF"/>
    <w:rPr>
      <w:vertAlign w:val="superscript"/>
    </w:rPr>
  </w:style>
  <w:style w:type="character" w:customStyle="1" w:styleId="Char2">
    <w:name w:val="页眉 Char"/>
    <w:basedOn w:val="a0"/>
    <w:link w:val="a6"/>
    <w:uiPriority w:val="99"/>
    <w:qFormat/>
    <w:rsid w:val="00DD36EF"/>
    <w:rPr>
      <w:sz w:val="18"/>
      <w:szCs w:val="18"/>
    </w:rPr>
  </w:style>
  <w:style w:type="character" w:customStyle="1" w:styleId="Char1">
    <w:name w:val="页脚 Char"/>
    <w:basedOn w:val="a0"/>
    <w:link w:val="a5"/>
    <w:uiPriority w:val="99"/>
    <w:qFormat/>
    <w:rsid w:val="00DD36EF"/>
    <w:rPr>
      <w:sz w:val="18"/>
      <w:szCs w:val="18"/>
    </w:rPr>
  </w:style>
  <w:style w:type="paragraph" w:styleId="ad">
    <w:name w:val="List Paragraph"/>
    <w:basedOn w:val="a"/>
    <w:uiPriority w:val="34"/>
    <w:qFormat/>
    <w:rsid w:val="00DD36EF"/>
    <w:pPr>
      <w:ind w:firstLineChars="200" w:firstLine="420"/>
    </w:pPr>
  </w:style>
  <w:style w:type="character" w:customStyle="1" w:styleId="Char0">
    <w:name w:val="批注框文本 Char"/>
    <w:basedOn w:val="a0"/>
    <w:link w:val="a4"/>
    <w:uiPriority w:val="99"/>
    <w:semiHidden/>
    <w:qFormat/>
    <w:rsid w:val="00DD36EF"/>
    <w:rPr>
      <w:sz w:val="18"/>
      <w:szCs w:val="18"/>
    </w:rPr>
  </w:style>
  <w:style w:type="character" w:customStyle="1" w:styleId="Char">
    <w:name w:val="批注文字 Char"/>
    <w:basedOn w:val="a0"/>
    <w:link w:val="a3"/>
    <w:uiPriority w:val="99"/>
    <w:semiHidden/>
    <w:qFormat/>
    <w:rsid w:val="00DD36EF"/>
  </w:style>
  <w:style w:type="character" w:customStyle="1" w:styleId="Char4">
    <w:name w:val="批注主题 Char"/>
    <w:basedOn w:val="Char"/>
    <w:link w:val="a8"/>
    <w:uiPriority w:val="99"/>
    <w:semiHidden/>
    <w:qFormat/>
    <w:rsid w:val="00DD36EF"/>
    <w:rPr>
      <w:b/>
      <w:bCs/>
    </w:rPr>
  </w:style>
  <w:style w:type="character" w:customStyle="1" w:styleId="Char3">
    <w:name w:val="脚注文本 Char"/>
    <w:basedOn w:val="a0"/>
    <w:link w:val="a7"/>
    <w:uiPriority w:val="99"/>
    <w:semiHidden/>
    <w:qFormat/>
    <w:rsid w:val="00DD36EF"/>
    <w:rPr>
      <w:sz w:val="18"/>
      <w:szCs w:val="18"/>
    </w:rPr>
  </w:style>
  <w:style w:type="character" w:customStyle="1" w:styleId="font31">
    <w:name w:val="font31"/>
    <w:basedOn w:val="a0"/>
    <w:qFormat/>
    <w:rsid w:val="00DD36EF"/>
    <w:rPr>
      <w:rFonts w:ascii="宋体" w:eastAsia="宋体" w:hAnsi="宋体" w:cs="宋体" w:hint="eastAsia"/>
      <w:color w:val="000000"/>
      <w:sz w:val="20"/>
      <w:szCs w:val="20"/>
      <w:u w:val="none"/>
    </w:rPr>
  </w:style>
  <w:style w:type="character" w:customStyle="1" w:styleId="font51">
    <w:name w:val="font51"/>
    <w:basedOn w:val="a0"/>
    <w:qFormat/>
    <w:rsid w:val="00DD36EF"/>
    <w:rPr>
      <w:rFonts w:ascii="宋体" w:eastAsia="宋体" w:hAnsi="宋体" w:cs="宋体" w:hint="eastAsia"/>
      <w:color w:val="000000"/>
      <w:sz w:val="20"/>
      <w:szCs w:val="20"/>
      <w:u w:val="none"/>
    </w:rPr>
  </w:style>
  <w:style w:type="character" w:customStyle="1" w:styleId="font81">
    <w:name w:val="font81"/>
    <w:basedOn w:val="a0"/>
    <w:qFormat/>
    <w:rsid w:val="00DD36EF"/>
    <w:rPr>
      <w:rFonts w:ascii="Arial" w:hAnsi="Arial" w:cs="Arial"/>
      <w:color w:val="000000"/>
      <w:sz w:val="20"/>
      <w:szCs w:val="20"/>
      <w:u w:val="none"/>
    </w:rPr>
  </w:style>
  <w:style w:type="character" w:customStyle="1" w:styleId="font61">
    <w:name w:val="font61"/>
    <w:basedOn w:val="a0"/>
    <w:qFormat/>
    <w:rsid w:val="00DD36EF"/>
    <w:rPr>
      <w:rFonts w:ascii="宋体" w:eastAsia="宋体" w:hAnsi="宋体" w:cs="宋体" w:hint="eastAsia"/>
      <w:color w:val="000000"/>
      <w:sz w:val="20"/>
      <w:szCs w:val="20"/>
      <w:u w:val="none"/>
    </w:rPr>
  </w:style>
  <w:style w:type="character" w:customStyle="1" w:styleId="font11">
    <w:name w:val="font11"/>
    <w:basedOn w:val="a0"/>
    <w:qFormat/>
    <w:rsid w:val="00DD36EF"/>
    <w:rPr>
      <w:rFonts w:ascii="Arial" w:hAnsi="Arial" w:cs="Arial" w:hint="default"/>
      <w:color w:val="000000"/>
      <w:sz w:val="20"/>
      <w:szCs w:val="20"/>
      <w:u w:val="none"/>
    </w:rPr>
  </w:style>
  <w:style w:type="character" w:customStyle="1" w:styleId="font71">
    <w:name w:val="font71"/>
    <w:basedOn w:val="a0"/>
    <w:qFormat/>
    <w:rsid w:val="00DD36EF"/>
    <w:rPr>
      <w:rFonts w:ascii="宋体" w:eastAsia="宋体" w:hAnsi="宋体" w:cs="宋体" w:hint="eastAsia"/>
      <w:b/>
      <w:bCs/>
      <w:color w:val="000000"/>
      <w:sz w:val="24"/>
      <w:szCs w:val="24"/>
      <w:u w:val="none"/>
    </w:rPr>
  </w:style>
  <w:style w:type="character" w:customStyle="1" w:styleId="font91">
    <w:name w:val="font91"/>
    <w:basedOn w:val="a0"/>
    <w:qFormat/>
    <w:rsid w:val="00DD36EF"/>
    <w:rPr>
      <w:rFonts w:ascii="宋体" w:eastAsia="宋体" w:hAnsi="宋体" w:cs="宋体" w:hint="eastAsia"/>
      <w:color w:val="000000"/>
      <w:sz w:val="20"/>
      <w:szCs w:val="20"/>
      <w:u w:val="none"/>
    </w:rPr>
  </w:style>
  <w:style w:type="character" w:customStyle="1" w:styleId="font01">
    <w:name w:val="font01"/>
    <w:basedOn w:val="a0"/>
    <w:qFormat/>
    <w:rsid w:val="00DD36EF"/>
    <w:rPr>
      <w:rFonts w:ascii="Times New Roman" w:hAnsi="Times New Roman" w:cs="Times New Roman" w:hint="default"/>
      <w:color w:val="000000"/>
      <w:sz w:val="20"/>
      <w:szCs w:val="20"/>
      <w:u w:val="none"/>
    </w:rPr>
  </w:style>
  <w:style w:type="character" w:customStyle="1" w:styleId="font41">
    <w:name w:val="font41"/>
    <w:basedOn w:val="a0"/>
    <w:qFormat/>
    <w:rsid w:val="00DD36EF"/>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EBA2-F469-4871-B6AC-E0300B31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1802</Words>
  <Characters>10272</Characters>
  <Application>Microsoft Office Word</Application>
  <DocSecurity>4</DocSecurity>
  <Lines>85</Lines>
  <Paragraphs>24</Paragraphs>
  <ScaleCrop>false</ScaleCrop>
  <Company>CNSTOCK</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2025-07-20T16:03:00Z</dcterms:created>
  <dcterms:modified xsi:type="dcterms:W3CDTF">2025-07-20T16:03:00Z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6C295BBBE93744629357E9D8769A7262_13</vt:lpwstr>
  </property>
</Properties>
</file>