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02B" w:rsidRDefault="00F476BD" w:rsidP="00F476BD">
      <w:pPr>
        <w:spacing w:line="540" w:lineRule="exact"/>
        <w:ind w:firstLineChars="50" w:firstLine="160"/>
        <w:jc w:val="center"/>
        <w:rPr>
          <w:rFonts w:ascii="仿宋" w:eastAsia="仿宋" w:hAnsi="仿宋"/>
          <w:b/>
          <w:color w:val="000000" w:themeColor="text1"/>
          <w:sz w:val="32"/>
          <w:szCs w:val="32"/>
        </w:rPr>
      </w:pPr>
      <w:bookmarkStart w:id="0" w:name="_GoBack"/>
      <w:r>
        <w:rPr>
          <w:rFonts w:ascii="仿宋" w:eastAsia="仿宋" w:hAnsi="仿宋" w:hint="eastAsia"/>
          <w:b/>
          <w:color w:val="000000" w:themeColor="text1"/>
          <w:sz w:val="32"/>
          <w:szCs w:val="32"/>
        </w:rPr>
        <w:t>博时基金</w:t>
      </w:r>
      <w:bookmarkEnd w:id="0"/>
      <w:r>
        <w:rPr>
          <w:rFonts w:ascii="仿宋" w:eastAsia="仿宋" w:hAnsi="仿宋" w:hint="eastAsia"/>
          <w:b/>
          <w:color w:val="000000" w:themeColor="text1"/>
          <w:sz w:val="32"/>
          <w:szCs w:val="32"/>
        </w:rPr>
        <w:t>管理有限公司旗下公募基金</w:t>
      </w:r>
      <w:r>
        <w:rPr>
          <w:rFonts w:ascii="仿宋" w:eastAsia="仿宋" w:hAnsi="仿宋" w:hint="eastAsia"/>
          <w:b/>
          <w:color w:val="000000" w:themeColor="text1"/>
          <w:sz w:val="32"/>
          <w:szCs w:val="32"/>
        </w:rPr>
        <w:t>202</w:t>
      </w:r>
      <w:r>
        <w:rPr>
          <w:rFonts w:ascii="仿宋" w:eastAsia="仿宋" w:hAnsi="仿宋" w:hint="eastAsia"/>
          <w:b/>
          <w:color w:val="000000" w:themeColor="text1"/>
          <w:sz w:val="32"/>
          <w:szCs w:val="32"/>
        </w:rPr>
        <w:t>5</w:t>
      </w:r>
      <w:r>
        <w:rPr>
          <w:rFonts w:ascii="仿宋" w:eastAsia="仿宋" w:hAnsi="仿宋" w:hint="eastAsia"/>
          <w:b/>
          <w:color w:val="000000" w:themeColor="text1"/>
          <w:sz w:val="32"/>
          <w:szCs w:val="32"/>
        </w:rPr>
        <w:t>年</w:t>
      </w:r>
      <w:r>
        <w:rPr>
          <w:rFonts w:ascii="仿宋" w:eastAsia="仿宋" w:hAnsi="仿宋" w:hint="eastAsia"/>
          <w:b/>
          <w:color w:val="000000" w:themeColor="text1"/>
          <w:sz w:val="32"/>
          <w:szCs w:val="32"/>
        </w:rPr>
        <w:t>2</w:t>
      </w:r>
      <w:r>
        <w:rPr>
          <w:rFonts w:ascii="仿宋" w:eastAsia="仿宋" w:hAnsi="仿宋" w:hint="eastAsia"/>
          <w:b/>
          <w:color w:val="000000" w:themeColor="text1"/>
          <w:sz w:val="32"/>
          <w:szCs w:val="32"/>
        </w:rPr>
        <w:t>季度报告提示性公告</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本公司董事会及董事保证基金季度报告所载资料不存在虚假记载、误导性陈述或重大遗漏，并对其内容的真实性、准确性和完整性承担个别及连带责任。</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博时安盈债券型证券投资基金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博时岁岁增利一年持有期债券型证券投资基金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博时裕益灵活配置混合型证券投资基金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博时内需增长灵活配置混合型证券投资基金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博时双月薪定期支付债券型证券投资基金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博时裕隆灵活配置混合型证券投资基金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博时现金宝货币市场基金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博时天天增利货币市场基金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博时季季享三个月持有期债券型证券投资基金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博时产业新动力灵活配置混合型发起式证券投资基金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博时互联网主题灵活配置混合型证券投资基金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博时沪港深优质企业灵活配置混合型证券投资基金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博时丝路主题股票型证券投资基金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博时中证淘金大数据</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指数型证券投资基金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博时国企改革主题股票型证券投资基金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博时外服货币市场基金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博时新策略灵活配置混合型证券投资基金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博时裕嘉纯债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w:t>
      </w:r>
      <w:r>
        <w:rPr>
          <w:rFonts w:ascii="仿宋" w:eastAsia="仿宋" w:hAnsi="仿宋" w:hint="eastAsia"/>
          <w:color w:val="000000" w:themeColor="text1"/>
          <w:sz w:val="32"/>
          <w:szCs w:val="32"/>
        </w:rPr>
        <w:lastRenderedPageBreak/>
        <w:t>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博时裕盈纯债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博时裕瑞纯债债券型证券投资基金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博时裕恒纯债债券</w:t>
      </w:r>
      <w:r>
        <w:rPr>
          <w:rFonts w:ascii="仿宋" w:eastAsia="仿宋" w:hAnsi="仿宋" w:hint="eastAsia"/>
          <w:color w:val="000000" w:themeColor="text1"/>
          <w:sz w:val="32"/>
          <w:szCs w:val="32"/>
        </w:rPr>
        <w:t>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博时裕荣纯债债券型证券投资基金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博时裕泰纯债债券型证券投资基金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博时新收益灵活配置混合型证券投资基金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博时裕丰纯债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博时裕诚纯债债券型证券投资基金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博时外延增长主题灵活配置混合型证券投资基金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博时裕坤纯债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博时裕乾纯债债券型证券投资基金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博时裕达纯债债券型证券投资基金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博时裕康纯债债券型证券投资基金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博时裕腾纯债债券型证券投资基金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博时裕安纯债一年定期开放债券型发起式证券投资基金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博时裕新纯债债券型证券投资基金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博时裕景纯债债券型证券投资基金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博时裕发纯债债券型证券投资基金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博时裕弘纯债债券型证券投资基金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博时裕泉纯债债券型证券投资基金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博时工业</w:t>
      </w:r>
      <w:r>
        <w:rPr>
          <w:rFonts w:ascii="仿宋" w:eastAsia="仿宋" w:hAnsi="仿宋" w:hint="eastAsia"/>
          <w:color w:val="000000" w:themeColor="text1"/>
          <w:sz w:val="32"/>
          <w:szCs w:val="32"/>
        </w:rPr>
        <w:t>4.0</w:t>
      </w:r>
      <w:r>
        <w:rPr>
          <w:rFonts w:ascii="仿宋" w:eastAsia="仿宋" w:hAnsi="仿宋" w:hint="eastAsia"/>
          <w:color w:val="000000" w:themeColor="text1"/>
          <w:sz w:val="32"/>
          <w:szCs w:val="32"/>
        </w:rPr>
        <w:t>主题股票型证券投资基金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博时黄金交易型开放式证券投资基金联接基金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博时安怡</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博时裕利纯债债券型证券投资基金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博时裕通纯债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博时裕创纯债债券型证券投资基金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博时裕盛纯债债券型证券投资基金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博时景兴纯债债券型证券投资基金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博时聚瑞纯债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博时裕顺纯债债券型证券投资基金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博时安仁一年定期开放债券型发起式证券投资基金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博时聚盈纯债债券型证券投资基金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博时聚润纯债债券型证券投资基金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博时合利货币市场基金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博时裕昂纯债债券型证券投资基金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博时景发纯债债券型证券投资基金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博时鑫源灵活配置混合型证券投资基金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博时富宁纯债债券型证券投资基金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博时聚源纯债债券型证券投资基金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博时合鑫货币市场基金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博时富发纯债债券型证券投资基金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博时智臻纯债债券型证券投资基金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博时富祥纯债债券型证券投资基金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博时聚利纯债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博时利发纯债债券型证券投资基金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博时悦楚纯债债券型证券投资基金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博时乐臻定期开放混合型证券投资基金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博时鑫泽灵活配置混合型证券投资基金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博时安诚</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博时臻选纯债债券型证券投资基金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博时富益纯债债券型证券投资基金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博时丰达纯债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博时安弘一年定期开放债券型发起式证券投资基金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博时富鑫纯债债券型证券投资基金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博时民丰纯债债券型证券投资基金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博时富华纯债债券型证券投资基金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博时富诚纯债债券型证券投资基金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博时慧选纯债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博时兴盛货币市场基金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博时沪港深价值优选灵活配置混合型证券投资基金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博时裕鹏纯债债券型证券投资基金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博时民泽纯债债券型证券投资基金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博时合惠货币市场基金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博时富嘉纯债债券型证券投资基金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博时鑫泰灵活配置混合型证券投资基金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博时富瑞纯债债券型证券投资基金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博时兴荣货币市场基金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博时富元纯债债券型证券投资基金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博时广利纯债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博时汇享纯债债券型证券投资基金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博时逆向投资混合型证券投资基金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博时汇智回报灵活配置混合型证券投资基金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博时华盈纯债债券型证券投资基金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博时富和纯债债券型证券投资基金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博时量化平衡混合型证券投资基金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博时新兴消费主题混合型证券投资基金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博时富腾纯债债券型证券投资基金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博时战略新兴产业混合型证券投资基金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博时丰庆纯债债券型证券投资基金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博时军工主题股票型证券投资基金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博时合晶货币市场基金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指数增强型证券投资基金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博时厚泽回报灵活配置混合型证券投资基金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博时富业纯债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博时创新驱动灵活配置混合型证券投资基金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博时富安纯债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w:t>
      </w:r>
      <w:r>
        <w:rPr>
          <w:rFonts w:ascii="仿宋" w:eastAsia="仿宋" w:hAnsi="仿宋" w:hint="eastAsia"/>
          <w:color w:val="000000" w:themeColor="text1"/>
          <w:sz w:val="32"/>
          <w:szCs w:val="32"/>
        </w:rPr>
        <w:t>月定期开放债券型发起式证券投资基金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博时富乾纯债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博时量化多策略股票型证券投资基金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博时富兴纯债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博时量化价值股票型证券投资基金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博时荣享回报灵活配置定期开放混合型证券投资基金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博时中证央企结构调整交易型开放式指数证券投资基金联接基金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博时富永纯债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1-3</w:t>
      </w:r>
      <w:r>
        <w:rPr>
          <w:rFonts w:ascii="仿宋" w:eastAsia="仿宋" w:hAnsi="仿宋" w:hint="eastAsia"/>
          <w:color w:val="000000" w:themeColor="text1"/>
          <w:sz w:val="32"/>
          <w:szCs w:val="32"/>
        </w:rPr>
        <w:t>年政策性金融债指数证券投资基金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博时富源纯债债券型证券投资基金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博时汇悦回报混合型证券投资基金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5-10</w:t>
      </w:r>
      <w:r>
        <w:rPr>
          <w:rFonts w:ascii="仿宋" w:eastAsia="仿宋" w:hAnsi="仿宋" w:hint="eastAsia"/>
          <w:color w:val="000000" w:themeColor="text1"/>
          <w:sz w:val="32"/>
          <w:szCs w:val="32"/>
        </w:rPr>
        <w:t>年农发行债券指数证券投资基金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博时富融纯债债券型证券投资基金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博时颐泽稳健养老目标一年持有期混合型基金中基金（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1-3</w:t>
      </w:r>
      <w:r>
        <w:rPr>
          <w:rFonts w:ascii="仿宋" w:eastAsia="仿宋" w:hAnsi="仿宋" w:hint="eastAsia"/>
          <w:color w:val="000000" w:themeColor="text1"/>
          <w:sz w:val="32"/>
          <w:szCs w:val="32"/>
        </w:rPr>
        <w:t>年国开行债券指数证券投资基金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3-5</w:t>
      </w:r>
      <w:r>
        <w:rPr>
          <w:rFonts w:ascii="仿宋" w:eastAsia="仿宋" w:hAnsi="仿宋" w:hint="eastAsia"/>
          <w:color w:val="000000" w:themeColor="text1"/>
          <w:sz w:val="32"/>
          <w:szCs w:val="32"/>
        </w:rPr>
        <w:t>年国开行债券指数证券投资基金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博时富丰纯债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博时富淳纯债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博时富乐纯债债券型证券投资基金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博时颐泽平衡养老目标三年持有期混合型发起式基金中基金（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博时富汇纯债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博时中证央企创新驱动交易型开放式指数</w:t>
      </w:r>
      <w:r>
        <w:rPr>
          <w:rFonts w:ascii="仿宋" w:eastAsia="仿宋" w:hAnsi="仿宋" w:hint="eastAsia"/>
          <w:color w:val="000000" w:themeColor="text1"/>
          <w:sz w:val="32"/>
          <w:szCs w:val="32"/>
        </w:rPr>
        <w:t>证券投资基金联接基金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3-5</w:t>
      </w:r>
      <w:r>
        <w:rPr>
          <w:rFonts w:ascii="仿宋" w:eastAsia="仿宋" w:hAnsi="仿宋" w:hint="eastAsia"/>
          <w:color w:val="000000" w:themeColor="text1"/>
          <w:sz w:val="32"/>
          <w:szCs w:val="32"/>
        </w:rPr>
        <w:t>年政策性金融债指数证券投资基金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博时富悦纯债债券型证券投资基金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博时富顺纯债债券型证券投资基金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博时稳欣</w:t>
      </w:r>
      <w:r>
        <w:rPr>
          <w:rFonts w:ascii="仿宋" w:eastAsia="仿宋" w:hAnsi="仿宋" w:hint="eastAsia"/>
          <w:color w:val="000000" w:themeColor="text1"/>
          <w:sz w:val="32"/>
          <w:szCs w:val="32"/>
        </w:rPr>
        <w:t>39</w:t>
      </w:r>
      <w:r>
        <w:rPr>
          <w:rFonts w:ascii="仿宋" w:eastAsia="仿宋" w:hAnsi="仿宋" w:hint="eastAsia"/>
          <w:color w:val="000000" w:themeColor="text1"/>
          <w:sz w:val="32"/>
          <w:szCs w:val="32"/>
        </w:rPr>
        <w:t>个月定期开放债券型证券投资基金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博时富添纯债债券型证券投资基金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交易型开放式指数证券投资基金发起式联接基金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博时富信纯债债券型证券投资基金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博时富进纯债一年定期开放债券型发起式证券投资基金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博时稳悦</w:t>
      </w:r>
      <w:r>
        <w:rPr>
          <w:rFonts w:ascii="仿宋" w:eastAsia="仿宋" w:hAnsi="仿宋" w:hint="eastAsia"/>
          <w:color w:val="000000" w:themeColor="text1"/>
          <w:sz w:val="32"/>
          <w:szCs w:val="32"/>
        </w:rPr>
        <w:t>63</w:t>
      </w:r>
      <w:r>
        <w:rPr>
          <w:rFonts w:ascii="仿宋" w:eastAsia="仿宋" w:hAnsi="仿宋" w:hint="eastAsia"/>
          <w:color w:val="000000" w:themeColor="text1"/>
          <w:sz w:val="32"/>
          <w:szCs w:val="32"/>
        </w:rPr>
        <w:t>个月定期开放债券型证券投资基金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博时富洋纯债一年定期开放债券型发起式证券投资基金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博时产业新趋势灵活配置混合型证券投资基金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博时成长优选灵活配置混合型证券投资基金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博时科技创新混合型证券投资基金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博时富灿纯债一年定期开放债券型发起式证券投资基金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博时荣丰回报灵活配置混合型证券投资基金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博时信用优选债券型证券投资基金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博时富通纯债一年定期开放债券型发起式证券投资基金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博时恒裕</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博时季季乐三个月持有期债券型证券投资基金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博时健康成长主题双周定期可赎回混合型证券投资基金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博时富盛纯债一年定期开放债券型发起式证券投资基金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博时研究精选一年持有期灵活配置混合型证券投资基金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博时女性消费主题混合型证券投资基金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博时恒盛一年持有期混合型证券投资基金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博时研究臻选三年持有期灵活配置混合型证券投资基金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博时价值臻选两年持有期灵活配置混合型证券投资基金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博时荣泰灵活配置混合型证券投资基金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博时双季享六个月持有期债券型证券投资基金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博时消费创新混合型证券投资基金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博时荣华灵活配置混合型证券投资基金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博时产业精选灵活配置混合型证券投资基金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博时恒进</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博时高端装备混合型证券投资基金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博时恒旭一年持有期混合型证券投资基金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指数增强发起式证券投资基金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博时成长领航灵活配置混合型证券投资基金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博时双季鑫</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博时创新经济混合型证券投资基金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博时汇兴回报一年持有期灵活配置混合型证券投资基金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博时恒泽混合型证券投资基金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博时港股通领先趋势混合型证券投资基金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博时汇融回报一年持有期混合型证券投资基金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博时战略新材料主题混合型证券投资基金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博时恒元</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博时创新精选混合型证券投资基金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博时恒悦</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博时产业慧选混合型证券投资基金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博时成长精选混合型证券投资基金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博时产业优选灵活配置混合型证券投资基金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博时周期优选混合型证券投资基金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博时恒泰债券型证券投资基金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博时先进制造混合型证券投资基金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博时汇誉回报灵活配置混合型证券投资基金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博时新能源汽车主题混合型证券投资基金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博时数字经济混合型证券投资基金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博时健康生活混合型证券投资基金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博时研究慧选混合型证券投资基金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博时乐享混合型证券投资基金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博时月月享</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天持有期短债债券型发起式证券投资基金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博时成长优势混合型证券投资基金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博时恒玺一年持有期混合型证券投资基金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博时汇荣回报灵活配置混合型证券投资基金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博时半导体主题混</w:t>
      </w:r>
      <w:r>
        <w:rPr>
          <w:rFonts w:ascii="仿宋" w:eastAsia="仿宋" w:hAnsi="仿宋" w:hint="eastAsia"/>
          <w:color w:val="000000" w:themeColor="text1"/>
          <w:sz w:val="32"/>
          <w:szCs w:val="32"/>
        </w:rPr>
        <w:t>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年国开行债券交易型开放式指数证券投资基金联接基金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博时移动互联主题混合型证券投资基金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博时双月享</w:t>
      </w:r>
      <w:r>
        <w:rPr>
          <w:rFonts w:ascii="仿宋" w:eastAsia="仿宋" w:hAnsi="仿宋" w:hint="eastAsia"/>
          <w:color w:val="000000" w:themeColor="text1"/>
          <w:sz w:val="32"/>
          <w:szCs w:val="32"/>
        </w:rPr>
        <w:t>60</w:t>
      </w:r>
      <w:r>
        <w:rPr>
          <w:rFonts w:ascii="仿宋" w:eastAsia="仿宋" w:hAnsi="仿宋" w:hint="eastAsia"/>
          <w:color w:val="000000" w:themeColor="text1"/>
          <w:sz w:val="32"/>
          <w:szCs w:val="32"/>
        </w:rPr>
        <w:t>天滚动持有债券型证券投资基金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博时新能源主题混合型证券投资基金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博时博盈稳健</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博时恒盈稳健一年持有期混合型证券投资基金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博时核心资产精选混合型证券投资基金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博时凤凰领航混合型证券投资基金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博时智选量化多因子股票型证券投资基金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博时稳益</w:t>
      </w:r>
      <w:r>
        <w:rPr>
          <w:rFonts w:ascii="仿宋" w:eastAsia="仿宋" w:hAnsi="仿宋" w:hint="eastAsia"/>
          <w:color w:val="000000" w:themeColor="text1"/>
          <w:sz w:val="32"/>
          <w:szCs w:val="32"/>
        </w:rPr>
        <w:t>9</w:t>
      </w:r>
      <w:r>
        <w:rPr>
          <w:rFonts w:ascii="仿宋" w:eastAsia="仿宋" w:hAnsi="仿宋" w:hint="eastAsia"/>
          <w:color w:val="000000" w:themeColor="text1"/>
          <w:sz w:val="32"/>
          <w:szCs w:val="32"/>
        </w:rPr>
        <w:t>个月持有期混合型证券投资基金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博时优质鑫选一年持有期混合型证券投资基金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博时时代消费混合型证券投资基金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博时富恒纯债一年定期开放债券型发起式证券投资基金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博时富璟纯债一年定期开放债券型证券投资基金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博时成长回报混合型证券投资基金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博时品质生活混合型证券投资基金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博时浦惠一年持有期混合型证券投资基金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博时专精特新主题混合型证券投资基金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博时恒生医疗保健交易型开放式指数证券投资基金发起式联接基金</w:t>
      </w:r>
      <w:r>
        <w:rPr>
          <w:rFonts w:ascii="仿宋" w:eastAsia="仿宋" w:hAnsi="仿宋" w:hint="eastAsia"/>
          <w:color w:val="000000" w:themeColor="text1"/>
          <w:sz w:val="32"/>
          <w:szCs w:val="32"/>
        </w:rPr>
        <w:t>(QDII)</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博时恒生科技交易型开放式指数证券投资基金发起式联接基金（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博时恒鑫稳健一年持有期混合型证券投资基金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博时成长臻选混合型证券投资基金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博时恒生港股通高股息率交易型开放式指数证券投资基金发起式联接基金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博时恒瑞混合型证券投资基金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博时回报严选混合型证券投资基金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博时时代领航混合型证券投资基金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博时恒乐债券型证券投资基金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博时研究回报混合型证券投资基金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博时远见回报混合型证券投资基金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博时恒益稳健一年持有期混合型证券投资基金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博时均衡回报混合型证券投资基金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博时双季乐六个月持有期债券型证券投资基金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博时富鸿金融债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博时四月享</w:t>
      </w:r>
      <w:r>
        <w:rPr>
          <w:rFonts w:ascii="仿宋" w:eastAsia="仿宋" w:hAnsi="仿宋" w:hint="eastAsia"/>
          <w:color w:val="000000" w:themeColor="text1"/>
          <w:sz w:val="32"/>
          <w:szCs w:val="32"/>
        </w:rPr>
        <w:t>120</w:t>
      </w:r>
      <w:r>
        <w:rPr>
          <w:rFonts w:ascii="仿宋" w:eastAsia="仿宋" w:hAnsi="仿宋" w:hint="eastAsia"/>
          <w:color w:val="000000" w:themeColor="text1"/>
          <w:sz w:val="32"/>
          <w:szCs w:val="32"/>
        </w:rPr>
        <w:t>天持有期债券型证券投资基金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博时优享回报混合型证券投资基金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博时月月乐同业存单</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博时优质精选混合型证券投资基金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博时富尊纯债一年定期开放债券型发起式证券投资基金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博时中证光伏产业指数证券投资基金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博时纳斯达克</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交易型开放式指数证券投资基金发起式联接基金（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博时卓远成长一年持有期股票型证券投资基金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博时稳健优选三个月持有期混合型基金中基金（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博时恒耀债券型证券投资基金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博时富泽金融债债券型证券投资基金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1000</w:t>
      </w:r>
      <w:r>
        <w:rPr>
          <w:rFonts w:ascii="仿宋" w:eastAsia="仿宋" w:hAnsi="仿宋" w:hint="eastAsia"/>
          <w:color w:val="000000" w:themeColor="text1"/>
          <w:sz w:val="32"/>
          <w:szCs w:val="32"/>
        </w:rPr>
        <w:t>指数增强型证券投资基金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博时均衡优选混合型证券投资基金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博时五月佳</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个月持有期混合型发起式基金中基金</w:t>
      </w:r>
      <w:r>
        <w:rPr>
          <w:rFonts w:ascii="仿宋" w:eastAsia="仿宋" w:hAnsi="仿宋" w:hint="eastAsia"/>
          <w:color w:val="000000" w:themeColor="text1"/>
          <w:sz w:val="32"/>
          <w:szCs w:val="32"/>
        </w:rPr>
        <w:t>(FOF)</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博时中证农业主题指数型发起式证券投资基金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博时安悦短债债券型证券投资基</w:t>
      </w:r>
      <w:r>
        <w:rPr>
          <w:rFonts w:ascii="仿宋" w:eastAsia="仿宋" w:hAnsi="仿宋" w:hint="eastAsia"/>
          <w:color w:val="000000" w:themeColor="text1"/>
          <w:sz w:val="32"/>
          <w:szCs w:val="32"/>
        </w:rPr>
        <w:t>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博时中证全指电力公用事业交易型开放式指数证券投资基金发起式联接基金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博时富盈一年定期开放债券型发起式证券投资基金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博时信享一年持有期混合型证券投资基金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博时恒享债券型证券投资基金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7-10</w:t>
      </w:r>
      <w:r>
        <w:rPr>
          <w:rFonts w:ascii="仿宋" w:eastAsia="仿宋" w:hAnsi="仿宋" w:hint="eastAsia"/>
          <w:color w:val="000000" w:themeColor="text1"/>
          <w:sz w:val="32"/>
          <w:szCs w:val="32"/>
        </w:rPr>
        <w:t>年政策性金融债指数证券投资基金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博时中证机器人指数型发起式证券投资基金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博时北证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成份指数型发起式证券投资基金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w:t>
      </w:r>
      <w:r>
        <w:rPr>
          <w:rFonts w:ascii="仿宋" w:eastAsia="仿宋" w:hAnsi="仿宋" w:hint="eastAsia"/>
          <w:color w:val="000000" w:themeColor="text1"/>
          <w:sz w:val="32"/>
          <w:szCs w:val="32"/>
        </w:rPr>
        <w:t>ESG</w:t>
      </w:r>
      <w:r>
        <w:rPr>
          <w:rFonts w:ascii="仿宋" w:eastAsia="仿宋" w:hAnsi="仿宋" w:hint="eastAsia"/>
          <w:color w:val="000000" w:themeColor="text1"/>
          <w:sz w:val="32"/>
          <w:szCs w:val="32"/>
        </w:rPr>
        <w:t>量化选股混合型证券投资基金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博时中证有色金属矿业主题指数证券投资基金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成份指数型发起式证券投资基金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博时厚泽匠选一年持有期混合型证券投资基金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博时稳健增利债券型证券投资基金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博时集兴配置优选</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博时中证医疗指数型发起式证券投资基金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博时臻选楚汇三个月持有期债券型基金中基金（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博时富耀纯债一年定期开放债券型发起式证券投资基金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博时标普石油天然气勘探及生产精选行业指数型发起式证券投资基金（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博时远见成长混合型证券投资基金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博时双季益六个月持有期债券型证券投资基金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博时中证新能源汽车交易型开放式指数证券投资基金发起式联接基金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博时匠心优选混合型证券投资基金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博时双月乐</w:t>
      </w:r>
      <w:r>
        <w:rPr>
          <w:rFonts w:ascii="仿宋" w:eastAsia="仿宋" w:hAnsi="仿宋" w:hint="eastAsia"/>
          <w:color w:val="000000" w:themeColor="text1"/>
          <w:sz w:val="32"/>
          <w:szCs w:val="32"/>
        </w:rPr>
        <w:t>60</w:t>
      </w:r>
      <w:r>
        <w:rPr>
          <w:rFonts w:ascii="仿宋" w:eastAsia="仿宋" w:hAnsi="仿宋" w:hint="eastAsia"/>
          <w:color w:val="000000" w:themeColor="text1"/>
          <w:sz w:val="32"/>
          <w:szCs w:val="32"/>
        </w:rPr>
        <w:t>天持有期债券型证券投资</w:t>
      </w:r>
      <w:r>
        <w:rPr>
          <w:rFonts w:ascii="仿宋" w:eastAsia="仿宋" w:hAnsi="仿宋" w:hint="eastAsia"/>
          <w:color w:val="000000" w:themeColor="text1"/>
          <w:sz w:val="32"/>
          <w:szCs w:val="32"/>
        </w:rPr>
        <w:t>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博时中证软件服务指数型发起式证券投资基金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博时稳合一年持有期混合型证券投资基金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博时中证红利低波动</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指数型发起式证券投资基金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博时中证新能源交易型开放式指数证券投资基金发起式联接基金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博时中高等级信用债债券型证券投资基金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博时惠泽混合型发起式证券投资基金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博时中证传媒指数型发起式证券投资基金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博时锦源利率债债券型证券投资基金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博时中证基建工程指数型发起式证券投资基金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博时卓越成长混合型证券投资基金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博时国证粮食产业指数型发起式证券投资基金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博时中证全指通信设备指数型发起式证券投资基金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博时国证消费电子主题指数型发起式证券投资基金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博时中证汽车零部件主题指数型发起式证券投资基金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博时中证红利交易型开放式指数证券投资基金发起式联接基金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w:t>
      </w:r>
      <w:r>
        <w:rPr>
          <w:rFonts w:ascii="仿宋" w:eastAsia="仿宋" w:hAnsi="仿宋" w:hint="eastAsia"/>
          <w:color w:val="000000" w:themeColor="text1"/>
          <w:sz w:val="32"/>
          <w:szCs w:val="32"/>
        </w:rPr>
        <w:t>交易型开放式指数证券投资基金发起式联接基金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博时中证信息技术应用创新产业指数型发起式证券投资基金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博时科技驱动混合型证券投资基金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博时季季兴</w:t>
      </w:r>
      <w:r>
        <w:rPr>
          <w:rFonts w:ascii="仿宋" w:eastAsia="仿宋" w:hAnsi="仿宋" w:hint="eastAsia"/>
          <w:color w:val="000000" w:themeColor="text1"/>
          <w:sz w:val="32"/>
          <w:szCs w:val="32"/>
        </w:rPr>
        <w:t>90</w:t>
      </w:r>
      <w:r>
        <w:rPr>
          <w:rFonts w:ascii="仿宋" w:eastAsia="仿宋" w:hAnsi="仿宋" w:hint="eastAsia"/>
          <w:color w:val="000000" w:themeColor="text1"/>
          <w:sz w:val="32"/>
          <w:szCs w:val="32"/>
        </w:rPr>
        <w:t>天滚动持有债券型证券投资基金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博时国证龙头家电交易型开放式指数证券投资基金发起式联接基金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博时中证红利低波动</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博时稳健恒利债券型证券投资基金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博时中证油气资源交易型开放式指数证券投资基金发起式联接基金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博时中证国新央企现代能源交易型开放式指数证券投资基金发起式联接基金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交易型开放式指数证券投资基金联接基金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交易型开放式指数证券投资基金发起式联接基金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A100</w:t>
      </w:r>
      <w:r>
        <w:rPr>
          <w:rFonts w:ascii="仿宋" w:eastAsia="仿宋" w:hAnsi="仿宋" w:hint="eastAsia"/>
          <w:color w:val="000000" w:themeColor="text1"/>
          <w:sz w:val="32"/>
          <w:szCs w:val="32"/>
        </w:rPr>
        <w:t>交易型开放式指数证券投资基金联接基金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博时月月兴</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博时上证科创板芯片交易型开放式指数证券投资基金发起式联接基金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博时上证科创板人工智能交易型开放式指数证券投资基金发起式联接基金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博时上证科创板综合交易型开放式指数证券投资基金联接基金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博时上证科创板综合价格指数增强型证券投资基金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博时价值增长证券投资基金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博时裕富沪深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博时现金收益证券投资基金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博时精选混合型证券投资基金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博时稳定价值债券投资基金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博时平衡配置混合型证券投资基金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博时第三产业成长混合型证券投资基金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博时新兴成长混合型证券投资基金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博时特许价值混合型证券投资基金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博时信用债券投资基金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博时策略灵活配置混合型证券投资基金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博时上证超级大盘交易型开放式指数证券投资基金联接基金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博时创业成长混合型证券投资基金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博时大中华亚太精选股票证券投资基金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博时宏观回报债券型证券投资基金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博时行业轮动混合型证券投资基金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博时转债增强债券型证券投资基金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博时抗通胀增强回报证券投资基金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博时创业板交易型开放式指数证券投资基金联接基金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博时回报灵活配置混合型证券投资基金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博时天颐债券型证券投资基金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博时上证自然资源交易型开放式指数证券投资基金联接基金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博时标普</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交易型开放式指数证券投资基金联接基金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博时医疗保健行业混合型证券投资基金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博时信用债纯债债券型证券投资基金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博时亚洲票息收益债券型证券投</w:t>
      </w:r>
      <w:r>
        <w:rPr>
          <w:rFonts w:ascii="仿宋" w:eastAsia="仿宋" w:hAnsi="仿宋" w:hint="eastAsia"/>
          <w:color w:val="000000" w:themeColor="text1"/>
          <w:sz w:val="32"/>
          <w:szCs w:val="32"/>
        </w:rPr>
        <w:t>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博时价值增长贰号证券投资基金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博时中证红利低波动</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博时国证大盘价值交易型开放式指数证券投资基金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博时深证基准做市信用债交易型开放式指数证券投资基金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w:t>
      </w:r>
      <w:r>
        <w:rPr>
          <w:rFonts w:ascii="仿宋" w:eastAsia="仿宋" w:hAnsi="仿宋" w:hint="eastAsia"/>
          <w:color w:val="000000" w:themeColor="text1"/>
          <w:sz w:val="32"/>
          <w:szCs w:val="32"/>
        </w:rPr>
        <w:t>2000</w:t>
      </w:r>
      <w:r>
        <w:rPr>
          <w:rFonts w:ascii="仿宋" w:eastAsia="仿宋" w:hAnsi="仿宋" w:hint="eastAsia"/>
          <w:color w:val="000000" w:themeColor="text1"/>
          <w:sz w:val="32"/>
          <w:szCs w:val="32"/>
        </w:rPr>
        <w:t>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2000</w:t>
      </w:r>
      <w:r>
        <w:rPr>
          <w:rFonts w:ascii="仿宋" w:eastAsia="仿宋" w:hAnsi="仿宋" w:hint="eastAsia"/>
          <w:color w:val="000000" w:themeColor="text1"/>
          <w:sz w:val="32"/>
          <w:szCs w:val="32"/>
        </w:rPr>
        <w:t>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博时中证港股通互联网交易型开放式指数证券投资基金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博时中证半导体产业交易型开放式指数证券投资基金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博时中证成渝地区双城经济圈成份交易型开放式指数证券投资基金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年国开行债券</w:t>
      </w:r>
      <w:r>
        <w:rPr>
          <w:rFonts w:ascii="仿宋" w:eastAsia="仿宋" w:hAnsi="仿宋" w:hint="eastAsia"/>
          <w:color w:val="000000" w:themeColor="text1"/>
          <w:sz w:val="32"/>
          <w:szCs w:val="32"/>
        </w:rPr>
        <w:t>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博时中证主要消费交易型开放式指数证券投资基金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增强策略交易型开放式指数证券投资基金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博时国证龙头家电交易型开放式指数证券投资基金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博时恒生科技交易型开放式指数证券投资基金</w:t>
      </w:r>
      <w:r>
        <w:rPr>
          <w:rFonts w:ascii="仿宋" w:eastAsia="仿宋" w:hAnsi="仿宋" w:hint="eastAsia"/>
          <w:color w:val="000000" w:themeColor="text1"/>
          <w:sz w:val="32"/>
          <w:szCs w:val="32"/>
        </w:rPr>
        <w:t>(QDII)</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博时中证湖北新旧动能转换交易型开放式指数证券投资基金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5G</w:t>
      </w:r>
      <w:r>
        <w:rPr>
          <w:rFonts w:ascii="仿宋" w:eastAsia="仿宋" w:hAnsi="仿宋" w:hint="eastAsia"/>
          <w:color w:val="000000" w:themeColor="text1"/>
          <w:sz w:val="32"/>
          <w:szCs w:val="32"/>
        </w:rPr>
        <w:t>产业</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博时中证新能源汽车交易型开放式指数证券投资基金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博时中证医药</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博时黄金交易型开放式证券投资基金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博时主题行业混合型证券投资基金（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博时卓越品牌混合型证券投资基金（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 xml:space="preserve"> </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博时稳健回报债券型证券投资基金（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博时安丰</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博时中证全指证券公司指数证券投资基金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博时中证银行指数证券投资基金（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博时睿远事件驱动灵活配置混合型证券投资基金（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博时优势企业灵活配置混合型证券投资基金（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博时研究优选灵活配置混合型证券投资基金（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博时创业板两年定期开放混合型证券投资基金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博时招商蛇</w:t>
      </w:r>
      <w:r>
        <w:rPr>
          <w:rFonts w:ascii="仿宋" w:eastAsia="仿宋" w:hAnsi="仿宋" w:hint="eastAsia"/>
          <w:color w:val="000000" w:themeColor="text1"/>
          <w:sz w:val="32"/>
          <w:szCs w:val="32"/>
        </w:rPr>
        <w:t>口产业园封闭式基础设施证券投资基金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博时科创主题灵活配置混合型证券投资基金（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博时安康</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博时科创板三年定期开放混合型证券投资基金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博时津开科工产业园封闭式基础设施证券投资基金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上证超级大盘交易型开放式指数证券投资基金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上证自然资源交易型开放式指数证券投资基金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年期国债交易型开放式指数证券投资基金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博时中证可转债及可交换债券交易型开放式指数证券投资基金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博时保证金实时交易型货币市场基金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博时中证央企结构调整交易型开放式指数证券投资基金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博时恒生医疗保健交易型开放式指数证券投资基金（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博时中证全球中国教育主题交易型开放式指数证券投资基金</w:t>
      </w:r>
      <w:r>
        <w:rPr>
          <w:rFonts w:ascii="仿宋" w:eastAsia="仿宋" w:hAnsi="仿宋" w:hint="eastAsia"/>
          <w:color w:val="000000" w:themeColor="text1"/>
          <w:sz w:val="32"/>
          <w:szCs w:val="32"/>
        </w:rPr>
        <w:t>(QDII)</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博时纳斯达克</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博时标普</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博时恒生港股通高股息率交易型开放式指数证券投资基金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博时中证可持续发展</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博时中证红利交易型开放式指数证券投资基金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博时中证央企创新驱动交易型开放式指数证券投</w:t>
      </w:r>
      <w:r>
        <w:rPr>
          <w:rFonts w:ascii="仿宋" w:eastAsia="仿宋" w:hAnsi="仿宋" w:hint="eastAsia"/>
          <w:color w:val="000000" w:themeColor="text1"/>
          <w:sz w:val="32"/>
          <w:szCs w:val="32"/>
        </w:rPr>
        <w:t>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博时中证智能消费主题交易型开放式指数证券投资基金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博时中证新能源交易型开放式指数证券投资基金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博时中证金融科技主题交易型开放式指数证券投资基金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博时中证全指电力公用事业交易型开放式指数证券投资基金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博时中证油气资源交易型开放式指数证券投资基金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w:t>
      </w:r>
      <w:r>
        <w:rPr>
          <w:rFonts w:ascii="仿宋" w:eastAsia="仿宋" w:hAnsi="仿宋" w:hint="eastAsia"/>
          <w:color w:val="000000" w:themeColor="text1"/>
          <w:sz w:val="32"/>
          <w:szCs w:val="32"/>
        </w:rPr>
        <w:t>1000</w:t>
      </w:r>
      <w:r>
        <w:rPr>
          <w:rFonts w:ascii="仿宋" w:eastAsia="仿宋" w:hAnsi="仿宋" w:hint="eastAsia"/>
          <w:color w:val="000000" w:themeColor="text1"/>
          <w:sz w:val="32"/>
          <w:szCs w:val="32"/>
        </w:rPr>
        <w:t>增强策略交易型开放式指数证券投资基金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博时中证国新央企现代能源交易型开放式指数证券投资基金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博时上证科创板新材料交易型开放式指数证券投资基金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博时中证科创创业</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博时上证科创板人工智能交易型开放式指数证券投资基金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博时上证科创板芯片交易型开放式指数证券投资基金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博时上证科创板综合交易型开放式指数证券投资基金</w:t>
      </w:r>
    </w:p>
    <w:p w:rsidR="008F702B" w:rsidRDefault="00F476BD">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的季度报告</w:t>
      </w:r>
      <w:r>
        <w:rPr>
          <w:rFonts w:ascii="仿宋" w:eastAsia="仿宋" w:hAnsi="仿宋"/>
          <w:color w:val="000000" w:themeColor="text1"/>
          <w:sz w:val="32"/>
          <w:szCs w:val="32"/>
        </w:rPr>
        <w:t>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w:t>
      </w:r>
      <w:r>
        <w:rPr>
          <w:rFonts w:ascii="仿宋" w:eastAsia="仿宋" w:hAnsi="仿宋" w:hint="eastAsia"/>
          <w:color w:val="000000" w:themeColor="text1"/>
          <w:sz w:val="32"/>
          <w:szCs w:val="32"/>
        </w:rPr>
        <w:t>25</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21</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hyperlink r:id="rId7" w:history="1">
        <w:r>
          <w:rPr>
            <w:rStyle w:val="a9"/>
            <w:rFonts w:ascii="仿宋" w:eastAsia="仿宋" w:hAnsi="仿宋"/>
            <w:sz w:val="32"/>
            <w:szCs w:val="32"/>
          </w:rPr>
          <w:t>http://www.bosera.com</w:t>
        </w:r>
      </w:hyperlink>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8" w:history="1">
        <w:r>
          <w:rPr>
            <w:rStyle w:val="a9"/>
            <w:rFonts w:ascii="仿宋" w:eastAsia="仿宋" w:hAnsi="仿宋" w:hint="eastAsia"/>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95105568</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8F702B" w:rsidRDefault="00F476B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本基金管理人承诺以诚实信用、勤勉尽责的原则管理和运用基金资产，但不保证基金一定盈利，也不保证最低收益。请充分了解基金的风险收益特征，审慎做出投资决定。</w:t>
      </w:r>
    </w:p>
    <w:p w:rsidR="008F702B" w:rsidRDefault="00F476B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8F702B" w:rsidRDefault="00F476BD">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p>
    <w:p w:rsidR="008F702B" w:rsidRDefault="008F702B">
      <w:pPr>
        <w:spacing w:line="540" w:lineRule="exact"/>
        <w:ind w:firstLineChars="250" w:firstLine="800"/>
        <w:jc w:val="right"/>
        <w:rPr>
          <w:rFonts w:ascii="仿宋" w:eastAsia="仿宋" w:hAnsi="仿宋"/>
          <w:color w:val="000000" w:themeColor="text1"/>
          <w:sz w:val="32"/>
          <w:szCs w:val="32"/>
        </w:rPr>
      </w:pPr>
    </w:p>
    <w:p w:rsidR="008F702B" w:rsidRDefault="00F476BD">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博时基金管理</w:t>
      </w:r>
      <w:r>
        <w:rPr>
          <w:rFonts w:ascii="仿宋" w:eastAsia="仿宋" w:hAnsi="仿宋" w:hint="eastAsia"/>
          <w:color w:val="000000" w:themeColor="text1"/>
          <w:sz w:val="32"/>
          <w:szCs w:val="32"/>
        </w:rPr>
        <w:t>有限</w:t>
      </w:r>
      <w:r>
        <w:rPr>
          <w:rFonts w:ascii="仿宋" w:eastAsia="仿宋" w:hAnsi="仿宋"/>
          <w:color w:val="000000" w:themeColor="text1"/>
          <w:sz w:val="32"/>
          <w:szCs w:val="32"/>
        </w:rPr>
        <w:t>公司</w:t>
      </w:r>
    </w:p>
    <w:p w:rsidR="008F702B" w:rsidRDefault="00F476BD">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202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7</w:t>
      </w:r>
      <w:r>
        <w:rPr>
          <w:rFonts w:ascii="仿宋" w:eastAsia="仿宋" w:hAnsi="仿宋"/>
          <w:color w:val="000000" w:themeColor="text1"/>
          <w:sz w:val="32"/>
          <w:szCs w:val="32"/>
        </w:rPr>
        <w:t>月</w:t>
      </w:r>
      <w:r>
        <w:rPr>
          <w:rFonts w:ascii="仿宋" w:eastAsia="仿宋" w:hAnsi="仿宋" w:hint="eastAsia"/>
          <w:color w:val="000000" w:themeColor="text1"/>
          <w:sz w:val="32"/>
          <w:szCs w:val="32"/>
        </w:rPr>
        <w:t>21</w:t>
      </w:r>
      <w:r>
        <w:rPr>
          <w:rFonts w:ascii="仿宋" w:eastAsia="仿宋" w:hAnsi="仿宋"/>
          <w:color w:val="000000" w:themeColor="text1"/>
          <w:sz w:val="32"/>
          <w:szCs w:val="32"/>
        </w:rPr>
        <w:t>日</w:t>
      </w:r>
    </w:p>
    <w:sectPr w:rsidR="008F702B" w:rsidSect="008F702B">
      <w:headerReference w:type="default" r:id="rId9"/>
      <w:footerReference w:type="default" r:id="rId10"/>
      <w:footerReference w:type="first" r:id="rId11"/>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02B" w:rsidRDefault="008F702B" w:rsidP="008F702B">
      <w:r>
        <w:separator/>
      </w:r>
    </w:p>
  </w:endnote>
  <w:endnote w:type="continuationSeparator" w:id="0">
    <w:p w:rsidR="008F702B" w:rsidRDefault="008F702B" w:rsidP="008F70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8F702B" w:rsidRDefault="008F702B">
        <w:pPr>
          <w:pStyle w:val="a5"/>
          <w:jc w:val="center"/>
        </w:pPr>
        <w:r>
          <w:fldChar w:fldCharType="begin"/>
        </w:r>
        <w:r w:rsidR="00F476BD">
          <w:instrText>PAGE   \* MERGEFORMAT</w:instrText>
        </w:r>
        <w:r>
          <w:fldChar w:fldCharType="separate"/>
        </w:r>
        <w:r w:rsidR="00F476BD" w:rsidRPr="00F476BD">
          <w:rPr>
            <w:noProof/>
            <w:lang w:val="zh-CN"/>
          </w:rPr>
          <w:t>2</w:t>
        </w:r>
        <w:r>
          <w:fldChar w:fldCharType="end"/>
        </w:r>
      </w:p>
    </w:sdtContent>
  </w:sdt>
  <w:p w:rsidR="008F702B" w:rsidRDefault="008F702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8F702B" w:rsidRDefault="008F702B">
        <w:pPr>
          <w:pStyle w:val="a5"/>
          <w:jc w:val="center"/>
        </w:pPr>
        <w:r>
          <w:fldChar w:fldCharType="begin"/>
        </w:r>
        <w:r w:rsidR="00F476BD">
          <w:instrText>PAGE   \* MERGEFORMAT</w:instrText>
        </w:r>
        <w:r>
          <w:fldChar w:fldCharType="separate"/>
        </w:r>
        <w:r w:rsidR="00F476BD" w:rsidRPr="00F476BD">
          <w:rPr>
            <w:noProof/>
            <w:lang w:val="zh-CN"/>
          </w:rPr>
          <w:t>1</w:t>
        </w:r>
        <w:r>
          <w:fldChar w:fldCharType="end"/>
        </w:r>
      </w:p>
    </w:sdtContent>
  </w:sdt>
  <w:p w:rsidR="008F702B" w:rsidRDefault="008F702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02B" w:rsidRDefault="008F702B" w:rsidP="008F702B">
      <w:r>
        <w:separator/>
      </w:r>
    </w:p>
  </w:footnote>
  <w:footnote w:type="continuationSeparator" w:id="0">
    <w:p w:rsidR="008F702B" w:rsidRDefault="008F702B" w:rsidP="008F70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702B" w:rsidRDefault="008F702B">
    <w:pPr>
      <w:pStyle w:val="a6"/>
    </w:pPr>
  </w:p>
  <w:p w:rsidR="008F702B" w:rsidRDefault="008F702B"/>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001760"/>
    <w:rsid w:val="00010044"/>
    <w:rsid w:val="00022ABD"/>
    <w:rsid w:val="00025D40"/>
    <w:rsid w:val="000300E5"/>
    <w:rsid w:val="0003246C"/>
    <w:rsid w:val="00033010"/>
    <w:rsid w:val="00033204"/>
    <w:rsid w:val="000475F0"/>
    <w:rsid w:val="000539F6"/>
    <w:rsid w:val="00056EE0"/>
    <w:rsid w:val="00057323"/>
    <w:rsid w:val="000759FD"/>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612"/>
    <w:rsid w:val="00166B15"/>
    <w:rsid w:val="00172A27"/>
    <w:rsid w:val="00174C8C"/>
    <w:rsid w:val="0017571E"/>
    <w:rsid w:val="00175AED"/>
    <w:rsid w:val="00191702"/>
    <w:rsid w:val="00192262"/>
    <w:rsid w:val="001A593B"/>
    <w:rsid w:val="001C6943"/>
    <w:rsid w:val="001D04AB"/>
    <w:rsid w:val="001D2521"/>
    <w:rsid w:val="001D74AE"/>
    <w:rsid w:val="001E7CAD"/>
    <w:rsid w:val="001F125D"/>
    <w:rsid w:val="001F15CB"/>
    <w:rsid w:val="001F533E"/>
    <w:rsid w:val="0021172E"/>
    <w:rsid w:val="00221DE2"/>
    <w:rsid w:val="00234298"/>
    <w:rsid w:val="002343BD"/>
    <w:rsid w:val="002471D4"/>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79D9"/>
    <w:rsid w:val="002E7B0A"/>
    <w:rsid w:val="002F2B53"/>
    <w:rsid w:val="00303860"/>
    <w:rsid w:val="00311075"/>
    <w:rsid w:val="003117E6"/>
    <w:rsid w:val="0031471A"/>
    <w:rsid w:val="00332619"/>
    <w:rsid w:val="00333802"/>
    <w:rsid w:val="003467B5"/>
    <w:rsid w:val="00355AEF"/>
    <w:rsid w:val="00355B7C"/>
    <w:rsid w:val="00361065"/>
    <w:rsid w:val="0036248F"/>
    <w:rsid w:val="00382BCB"/>
    <w:rsid w:val="00391944"/>
    <w:rsid w:val="00393949"/>
    <w:rsid w:val="003948AF"/>
    <w:rsid w:val="00394BBC"/>
    <w:rsid w:val="003A4AC6"/>
    <w:rsid w:val="003B46C9"/>
    <w:rsid w:val="003C2820"/>
    <w:rsid w:val="003C3CB5"/>
    <w:rsid w:val="003C5A1A"/>
    <w:rsid w:val="003D0424"/>
    <w:rsid w:val="003D32D7"/>
    <w:rsid w:val="003F4E13"/>
    <w:rsid w:val="003F6960"/>
    <w:rsid w:val="0040020D"/>
    <w:rsid w:val="00405ADB"/>
    <w:rsid w:val="004254EE"/>
    <w:rsid w:val="00430D19"/>
    <w:rsid w:val="00433480"/>
    <w:rsid w:val="0043655D"/>
    <w:rsid w:val="00437D86"/>
    <w:rsid w:val="00441246"/>
    <w:rsid w:val="00441E0B"/>
    <w:rsid w:val="00452A46"/>
    <w:rsid w:val="00454581"/>
    <w:rsid w:val="00454978"/>
    <w:rsid w:val="00464B6B"/>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158A6"/>
    <w:rsid w:val="0052094C"/>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E088E"/>
    <w:rsid w:val="005E0F00"/>
    <w:rsid w:val="005F4D9C"/>
    <w:rsid w:val="005F7E5C"/>
    <w:rsid w:val="00604996"/>
    <w:rsid w:val="00605B67"/>
    <w:rsid w:val="006163B1"/>
    <w:rsid w:val="00616874"/>
    <w:rsid w:val="0062589F"/>
    <w:rsid w:val="00626EA8"/>
    <w:rsid w:val="00641CEA"/>
    <w:rsid w:val="0065080E"/>
    <w:rsid w:val="006509A9"/>
    <w:rsid w:val="00655229"/>
    <w:rsid w:val="00656B0C"/>
    <w:rsid w:val="0066309A"/>
    <w:rsid w:val="0066627D"/>
    <w:rsid w:val="006832A2"/>
    <w:rsid w:val="00684A20"/>
    <w:rsid w:val="00685C26"/>
    <w:rsid w:val="00690EC4"/>
    <w:rsid w:val="006962CB"/>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4144B"/>
    <w:rsid w:val="00741A3E"/>
    <w:rsid w:val="007443C2"/>
    <w:rsid w:val="007477E1"/>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D5109"/>
    <w:rsid w:val="007E3EED"/>
    <w:rsid w:val="007F136D"/>
    <w:rsid w:val="007F60CB"/>
    <w:rsid w:val="0080104E"/>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94B81"/>
    <w:rsid w:val="008A1AFA"/>
    <w:rsid w:val="008A2CE2"/>
    <w:rsid w:val="008A3460"/>
    <w:rsid w:val="008A77F1"/>
    <w:rsid w:val="008B539C"/>
    <w:rsid w:val="008B77D5"/>
    <w:rsid w:val="008C155D"/>
    <w:rsid w:val="008D1059"/>
    <w:rsid w:val="008D4634"/>
    <w:rsid w:val="008E4CD7"/>
    <w:rsid w:val="008E58F7"/>
    <w:rsid w:val="008E6EC1"/>
    <w:rsid w:val="008F702B"/>
    <w:rsid w:val="00903815"/>
    <w:rsid w:val="00903C0A"/>
    <w:rsid w:val="009062C4"/>
    <w:rsid w:val="0090723B"/>
    <w:rsid w:val="00910193"/>
    <w:rsid w:val="0092312D"/>
    <w:rsid w:val="00933628"/>
    <w:rsid w:val="009465EA"/>
    <w:rsid w:val="0094712A"/>
    <w:rsid w:val="009506DC"/>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E35EB"/>
    <w:rsid w:val="009E433A"/>
    <w:rsid w:val="009E64F2"/>
    <w:rsid w:val="009E7875"/>
    <w:rsid w:val="009F72D1"/>
    <w:rsid w:val="00A144A6"/>
    <w:rsid w:val="00A171B6"/>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641D"/>
    <w:rsid w:val="00A87DCB"/>
    <w:rsid w:val="00A93A22"/>
    <w:rsid w:val="00AB49A1"/>
    <w:rsid w:val="00AC1161"/>
    <w:rsid w:val="00AD18DD"/>
    <w:rsid w:val="00AD562B"/>
    <w:rsid w:val="00AE3F47"/>
    <w:rsid w:val="00AE69BF"/>
    <w:rsid w:val="00AF7347"/>
    <w:rsid w:val="00B014DF"/>
    <w:rsid w:val="00B11B77"/>
    <w:rsid w:val="00B16987"/>
    <w:rsid w:val="00B17EF5"/>
    <w:rsid w:val="00B2068A"/>
    <w:rsid w:val="00B23F95"/>
    <w:rsid w:val="00B25BAB"/>
    <w:rsid w:val="00B26285"/>
    <w:rsid w:val="00B33F4A"/>
    <w:rsid w:val="00B41297"/>
    <w:rsid w:val="00B504F2"/>
    <w:rsid w:val="00B51388"/>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02EA"/>
    <w:rsid w:val="00CB2CEE"/>
    <w:rsid w:val="00CB4DE3"/>
    <w:rsid w:val="00CC2F35"/>
    <w:rsid w:val="00CC40C3"/>
    <w:rsid w:val="00CD00C4"/>
    <w:rsid w:val="00CD42C4"/>
    <w:rsid w:val="00CE43F8"/>
    <w:rsid w:val="00CE7C8B"/>
    <w:rsid w:val="00CF01CC"/>
    <w:rsid w:val="00CF6D5C"/>
    <w:rsid w:val="00D073A7"/>
    <w:rsid w:val="00D10B1F"/>
    <w:rsid w:val="00D11E1F"/>
    <w:rsid w:val="00D20C81"/>
    <w:rsid w:val="00D25E39"/>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B6F0A"/>
    <w:rsid w:val="00DD7BAA"/>
    <w:rsid w:val="00DE0FFA"/>
    <w:rsid w:val="00DE6A70"/>
    <w:rsid w:val="00DE6D0E"/>
    <w:rsid w:val="00DF3DF3"/>
    <w:rsid w:val="00DF5AA8"/>
    <w:rsid w:val="00E11D7D"/>
    <w:rsid w:val="00E1254C"/>
    <w:rsid w:val="00E1493F"/>
    <w:rsid w:val="00E16895"/>
    <w:rsid w:val="00E32614"/>
    <w:rsid w:val="00E33250"/>
    <w:rsid w:val="00E3526B"/>
    <w:rsid w:val="00E5059C"/>
    <w:rsid w:val="00E54C06"/>
    <w:rsid w:val="00E5664A"/>
    <w:rsid w:val="00E7407A"/>
    <w:rsid w:val="00E81A0A"/>
    <w:rsid w:val="00E964F7"/>
    <w:rsid w:val="00EA6F84"/>
    <w:rsid w:val="00EB0FFB"/>
    <w:rsid w:val="00EB5F37"/>
    <w:rsid w:val="00EB7931"/>
    <w:rsid w:val="00ED548C"/>
    <w:rsid w:val="00ED7F3F"/>
    <w:rsid w:val="00EE629E"/>
    <w:rsid w:val="00EF043C"/>
    <w:rsid w:val="00EF49B3"/>
    <w:rsid w:val="00EF56E1"/>
    <w:rsid w:val="00EF73FD"/>
    <w:rsid w:val="00F00561"/>
    <w:rsid w:val="00F01150"/>
    <w:rsid w:val="00F01E3D"/>
    <w:rsid w:val="00F04DC2"/>
    <w:rsid w:val="00F066D9"/>
    <w:rsid w:val="00F25F52"/>
    <w:rsid w:val="00F469D5"/>
    <w:rsid w:val="00F476BD"/>
    <w:rsid w:val="00F47FEE"/>
    <w:rsid w:val="00F527B3"/>
    <w:rsid w:val="00F55431"/>
    <w:rsid w:val="00F632AF"/>
    <w:rsid w:val="00F6382D"/>
    <w:rsid w:val="00F63F55"/>
    <w:rsid w:val="00F66378"/>
    <w:rsid w:val="00F71C51"/>
    <w:rsid w:val="00F77F4B"/>
    <w:rsid w:val="00F80D7B"/>
    <w:rsid w:val="00F9100C"/>
    <w:rsid w:val="00FA0934"/>
    <w:rsid w:val="00FA653D"/>
    <w:rsid w:val="00FB23EE"/>
    <w:rsid w:val="00FC34DF"/>
    <w:rsid w:val="00FC366A"/>
    <w:rsid w:val="00FD658E"/>
    <w:rsid w:val="00FE0C5A"/>
    <w:rsid w:val="00FE13A2"/>
    <w:rsid w:val="0A5174C7"/>
    <w:rsid w:val="18E66490"/>
    <w:rsid w:val="1C8B34B4"/>
    <w:rsid w:val="26122549"/>
    <w:rsid w:val="29F566E0"/>
    <w:rsid w:val="2EEC516F"/>
    <w:rsid w:val="32182BA4"/>
    <w:rsid w:val="3CFD1217"/>
    <w:rsid w:val="411A728E"/>
    <w:rsid w:val="4D3E0C1D"/>
    <w:rsid w:val="6F037A49"/>
    <w:rsid w:val="70A8438D"/>
    <w:rsid w:val="70BA6CD6"/>
    <w:rsid w:val="75E45FA4"/>
    <w:rsid w:val="760706E5"/>
    <w:rsid w:val="76951F31"/>
    <w:rsid w:val="79991A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qFormat="1"/>
    <w:lsdException w:name="footer" w:semiHidden="0"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02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F702B"/>
    <w:pPr>
      <w:jc w:val="left"/>
    </w:pPr>
  </w:style>
  <w:style w:type="paragraph" w:styleId="a4">
    <w:name w:val="Balloon Text"/>
    <w:basedOn w:val="a"/>
    <w:link w:val="Char0"/>
    <w:uiPriority w:val="99"/>
    <w:semiHidden/>
    <w:unhideWhenUsed/>
    <w:qFormat/>
    <w:rsid w:val="008F702B"/>
    <w:rPr>
      <w:sz w:val="18"/>
      <w:szCs w:val="18"/>
    </w:rPr>
  </w:style>
  <w:style w:type="paragraph" w:styleId="a5">
    <w:name w:val="footer"/>
    <w:basedOn w:val="a"/>
    <w:link w:val="Char1"/>
    <w:uiPriority w:val="99"/>
    <w:unhideWhenUsed/>
    <w:qFormat/>
    <w:rsid w:val="008F702B"/>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8F702B"/>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8F702B"/>
    <w:pPr>
      <w:snapToGrid w:val="0"/>
      <w:jc w:val="left"/>
    </w:pPr>
    <w:rPr>
      <w:sz w:val="18"/>
      <w:szCs w:val="18"/>
    </w:rPr>
  </w:style>
  <w:style w:type="paragraph" w:styleId="a8">
    <w:name w:val="annotation subject"/>
    <w:basedOn w:val="a3"/>
    <w:next w:val="a3"/>
    <w:link w:val="Char4"/>
    <w:uiPriority w:val="99"/>
    <w:semiHidden/>
    <w:unhideWhenUsed/>
    <w:qFormat/>
    <w:rsid w:val="008F702B"/>
    <w:rPr>
      <w:b/>
      <w:bCs/>
    </w:rPr>
  </w:style>
  <w:style w:type="character" w:styleId="a9">
    <w:name w:val="Hyperlink"/>
    <w:basedOn w:val="a0"/>
    <w:uiPriority w:val="99"/>
    <w:unhideWhenUsed/>
    <w:qFormat/>
    <w:rsid w:val="008F702B"/>
    <w:rPr>
      <w:color w:val="0000FF" w:themeColor="hyperlink"/>
      <w:u w:val="single"/>
    </w:rPr>
  </w:style>
  <w:style w:type="character" w:styleId="aa">
    <w:name w:val="annotation reference"/>
    <w:basedOn w:val="a0"/>
    <w:uiPriority w:val="99"/>
    <w:semiHidden/>
    <w:unhideWhenUsed/>
    <w:qFormat/>
    <w:rsid w:val="008F702B"/>
    <w:rPr>
      <w:sz w:val="21"/>
      <w:szCs w:val="21"/>
    </w:rPr>
  </w:style>
  <w:style w:type="character" w:styleId="ab">
    <w:name w:val="footnote reference"/>
    <w:basedOn w:val="a0"/>
    <w:uiPriority w:val="99"/>
    <w:semiHidden/>
    <w:unhideWhenUsed/>
    <w:qFormat/>
    <w:rsid w:val="008F702B"/>
    <w:rPr>
      <w:vertAlign w:val="superscript"/>
    </w:rPr>
  </w:style>
  <w:style w:type="character" w:customStyle="1" w:styleId="Char2">
    <w:name w:val="页眉 Char"/>
    <w:basedOn w:val="a0"/>
    <w:link w:val="a6"/>
    <w:uiPriority w:val="99"/>
    <w:qFormat/>
    <w:rsid w:val="008F702B"/>
    <w:rPr>
      <w:sz w:val="18"/>
      <w:szCs w:val="18"/>
    </w:rPr>
  </w:style>
  <w:style w:type="character" w:customStyle="1" w:styleId="Char1">
    <w:name w:val="页脚 Char"/>
    <w:basedOn w:val="a0"/>
    <w:link w:val="a5"/>
    <w:uiPriority w:val="99"/>
    <w:qFormat/>
    <w:rsid w:val="008F702B"/>
    <w:rPr>
      <w:sz w:val="18"/>
      <w:szCs w:val="18"/>
    </w:rPr>
  </w:style>
  <w:style w:type="paragraph" w:styleId="ac">
    <w:name w:val="List Paragraph"/>
    <w:basedOn w:val="a"/>
    <w:uiPriority w:val="34"/>
    <w:qFormat/>
    <w:rsid w:val="008F702B"/>
    <w:pPr>
      <w:ind w:firstLineChars="200" w:firstLine="420"/>
    </w:pPr>
  </w:style>
  <w:style w:type="character" w:customStyle="1" w:styleId="Char0">
    <w:name w:val="批注框文本 Char"/>
    <w:basedOn w:val="a0"/>
    <w:link w:val="a4"/>
    <w:uiPriority w:val="99"/>
    <w:semiHidden/>
    <w:qFormat/>
    <w:rsid w:val="008F702B"/>
    <w:rPr>
      <w:sz w:val="18"/>
      <w:szCs w:val="18"/>
    </w:rPr>
  </w:style>
  <w:style w:type="character" w:customStyle="1" w:styleId="Char">
    <w:name w:val="批注文字 Char"/>
    <w:basedOn w:val="a0"/>
    <w:link w:val="a3"/>
    <w:uiPriority w:val="99"/>
    <w:semiHidden/>
    <w:qFormat/>
    <w:rsid w:val="008F702B"/>
  </w:style>
  <w:style w:type="character" w:customStyle="1" w:styleId="Char4">
    <w:name w:val="批注主题 Char"/>
    <w:basedOn w:val="Char"/>
    <w:link w:val="a8"/>
    <w:uiPriority w:val="99"/>
    <w:semiHidden/>
    <w:qFormat/>
    <w:rsid w:val="008F702B"/>
    <w:rPr>
      <w:b/>
      <w:bCs/>
    </w:rPr>
  </w:style>
  <w:style w:type="character" w:customStyle="1" w:styleId="Char3">
    <w:name w:val="脚注文本 Char"/>
    <w:basedOn w:val="a0"/>
    <w:link w:val="a7"/>
    <w:uiPriority w:val="99"/>
    <w:semiHidden/>
    <w:qFormat/>
    <w:rsid w:val="008F702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ser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7CF3C-E338-4652-BE45-EAD45D22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7221</Characters>
  <Application>Microsoft Office Word</Application>
  <DocSecurity>4</DocSecurity>
  <Lines>60</Lines>
  <Paragraphs>16</Paragraphs>
  <ScaleCrop>false</ScaleCrop>
  <Company>CNSTOCK</Company>
  <LinksUpToDate>false</LinksUpToDate>
  <CharactersWithSpaces>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2025-07-20T16:04:00Z</dcterms:created>
  <dcterms:modified xsi:type="dcterms:W3CDTF">2025-07-20T16:04:00Z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62878BADB14C4571A5F23DCE24EA3BE3_13</vt:lpwstr>
  </property>
</Properties>
</file>