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23" w:rsidRDefault="00280D96" w:rsidP="00193E9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宝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盈基金管理有限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BB3501" w:rsidRDefault="005E088E" w:rsidP="00193E9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34510B">
        <w:rPr>
          <w:rFonts w:ascii="仿宋" w:eastAsia="仿宋" w:hAnsi="仿宋"/>
          <w:b/>
          <w:color w:val="000000" w:themeColor="text1"/>
          <w:sz w:val="32"/>
          <w:szCs w:val="32"/>
        </w:rPr>
        <w:t>6</w:t>
      </w:r>
      <w:r w:rsidR="006620A1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="00C14FB5" w:rsidRPr="00C14FB5">
        <w:rPr>
          <w:rFonts w:ascii="仿宋" w:eastAsia="仿宋" w:hAnsi="仿宋" w:hint="eastAsia"/>
          <w:b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34510B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34510B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280D96" w:rsidRPr="00280D96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6620A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第二</w:t>
      </w:r>
      <w:r w:rsidR="0034510B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280D96" w:rsidRPr="00280D96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Default="00B16987" w:rsidP="00193E9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237AEE" w:rsidRPr="005E088E" w:rsidRDefault="00237AEE" w:rsidP="00193E9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237AEE" w:rsidRDefault="00B16987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本公司董事会及董事保证基金</w:t>
      </w:r>
      <w:r w:rsidR="00C42F02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237AEE" w:rsidRDefault="00280D96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宝盈基金管理有限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公司</w:t>
      </w:r>
      <w:r w:rsidR="00056EE0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旗下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宝盈鸿利收益灵活配置混合型证券投资基金、宝盈泛沿海区域增长混合型证券投资基金、宝盈策略增长混合型证券投资基金、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宝盈资源优选混合型证券投资基金、宝盈增强收益债券型证券投资基金、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宝盈核心优势灵活配置混合型证券投资基金、宝盈货币市场证券投资基金、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宝盈中证</w:t>
      </w:r>
      <w:r w:rsidR="007F19F2">
        <w:rPr>
          <w:rFonts w:ascii="仿宋_GB2312" w:eastAsia="仿宋_GB2312" w:hAnsi="仿宋" w:hint="eastAsia"/>
          <w:color w:val="000000" w:themeColor="text1"/>
          <w:sz w:val="32"/>
          <w:szCs w:val="32"/>
        </w:rPr>
        <w:t>A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100指数增强型证券投资基金、宝盈新价值灵活配置混合型证券投资基金、宝盈转型动力灵活配置混合型证券投资基金、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宝盈祥瑞混合型证券投资基金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宝盈科技30灵活配置混合型证券投资基金、宝盈睿丰创新灵活配置混合型证券投资基金、宝盈先进制造灵活配置混合型证券投资基金、宝盈祥泰混合型证券投资基金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、宝盈新兴产业灵活配置混合型证券投资基金、宝盈优势产业灵活配置混合型证券投资基金、宝盈新锐灵活配置混合型证券投资基金、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宝盈国家安全战略沪港深股票型证券投资基金、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宝盈医疗健康沪港深股票型证券投资基金、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宝盈互联网沪港深灵活配置混合型证券投资基金、宝盈消费主题灵活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配置混合型证券投资基金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、宝盈盈泰纯债债券型证券投资基金、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宝盈人工智能主题股票型证券投资基金、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宝盈安泰短债债券型证券投资基金、宝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盈祥颐定期开放混合型证券投资基金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宝盈聚享纯债定期开放债券型发起式证券投资基金、宝盈品牌消费股票型证券投资基金</w:t>
      </w:r>
      <w:r w:rsidR="00971095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、宝盈盈润纯债债券型证券投资基金、宝盈融源可转债债券型证券投资基金、宝盈聚丰两年定期开放债券型证券投资基金</w:t>
      </w:r>
      <w:r w:rsidR="00F75BB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研究精选混合型证券投资基金、宝盈祥利稳健配置混合型证券投资基金、宝盈鸿盛债券型证券投资基金、宝盈龙头优选股票型证券投资基金、宝盈祥明一年定期开放混合型证券投资基金、宝盈盈旭纯债债券型证券投资基金、宝盈现代服务业混合型证券投资基金、宝盈创新驱动股票型证券投资基金、宝盈聚福39个月定期开放债券型证券投资基金</w:t>
      </w:r>
      <w:r w:rsidR="00FC428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、宝盈发展新动能股票型证券投资基金、宝盈祥裕增强回报混合型证券投资基金</w:t>
      </w:r>
      <w:r w:rsidR="00A9658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、宝盈基础产业混合型证券投资基金、宝盈智慧生活混合型证券投资基金</w:t>
      </w:r>
      <w:r w:rsidR="00237AEE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D06E8F" w:rsidRP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宝盈祥庆9个月持有期混合型证券投资基金</w:t>
      </w:r>
      <w:r w:rsid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D06E8F" w:rsidRP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宝盈优质成长混合型证券投资基金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312050" w:rsidRP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宝盈成长精选混合型证券投资基金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312050" w:rsidRP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宝盈品质甄选混合型证券投资基金</w:t>
      </w:r>
      <w:r w:rsid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52B6E" w:rsidRP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宝盈祥和9个月定期开放混合型证券投资基金</w:t>
      </w:r>
      <w:r w:rsid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52B6E" w:rsidRP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宝盈安盛中短债债券型证券投资基金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790D3B">
        <w:rPr>
          <w:rFonts w:ascii="仿宋_GB2312" w:eastAsia="仿宋_GB2312" w:hAnsi="仿宋"/>
          <w:color w:val="000000" w:themeColor="text1"/>
          <w:sz w:val="32"/>
          <w:szCs w:val="32"/>
        </w:rPr>
        <w:t>宝盈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祥琪</w:t>
      </w:r>
      <w:r w:rsidR="00790D3B">
        <w:rPr>
          <w:rFonts w:ascii="仿宋_GB2312" w:eastAsia="仿宋_GB2312" w:hAnsi="仿宋"/>
          <w:color w:val="000000" w:themeColor="text1"/>
          <w:sz w:val="32"/>
          <w:szCs w:val="32"/>
        </w:rPr>
        <w:t>混合型证券投资基金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宝盈国证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证券龙头指数型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发起式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证券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投资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</w:t>
      </w:r>
      <w:r w:rsid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宝盈聚鑫纯债一年定期开放债券型发起式证券投资基金</w:t>
      </w:r>
      <w:r w:rsid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宝盈中证沪港深科技龙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头指数型发起式证券投资基金</w:t>
      </w:r>
      <w:r w:rsid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宝盈半导体产业混合型发起式证券投资基金</w:t>
      </w:r>
      <w:r w:rsidR="000D49C8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0D49C8" w:rsidRPr="000D49C8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宝盈中证同业存单AAA指数7天持有期证券投资基金</w:t>
      </w:r>
      <w:r w:rsid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E72C9" w:rsidRP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宝盈中债0-5年政策性金融债指数证券投资基金</w:t>
      </w:r>
      <w:r w:rsid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E72C9" w:rsidRP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宝盈华证龙头红利50指数型发起式证券投资基金</w:t>
      </w:r>
      <w:r w:rsidR="0091768D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1768D" w:rsidRPr="0091768D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宝盈纳斯达克100指数型发起式证券投资基金（QDII）</w:t>
      </w:r>
      <w:r w:rsid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C4080" w:rsidRP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宝盈盈悦纯债债券型证券投资基金</w:t>
      </w:r>
      <w:r w:rsid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C4080" w:rsidRP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宝盈价值成长混合型证券投资基金</w:t>
      </w:r>
      <w:r w:rsid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6620A1" w:rsidRP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宝盈北证50成份指数型发起式证券投资基金</w:t>
      </w:r>
      <w:r w:rsid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6620A1" w:rsidRP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宝盈中债绿色普惠主题金融债券优选指数证券投资基金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共</w:t>
      </w:r>
      <w:r w:rsidR="00893A63">
        <w:rPr>
          <w:rFonts w:ascii="仿宋_GB2312" w:eastAsia="仿宋_GB2312" w:hAnsi="仿宋" w:hint="eastAsia"/>
          <w:color w:val="000000" w:themeColor="text1"/>
          <w:sz w:val="32"/>
          <w:szCs w:val="32"/>
        </w:rPr>
        <w:t>6</w:t>
      </w:r>
      <w:r w:rsidR="006620A1">
        <w:rPr>
          <w:rFonts w:ascii="仿宋_GB2312" w:eastAsia="仿宋_GB2312" w:hAnsi="仿宋"/>
          <w:color w:val="000000" w:themeColor="text1"/>
          <w:sz w:val="32"/>
          <w:szCs w:val="32"/>
        </w:rPr>
        <w:t>3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只基金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的</w:t>
      </w:r>
      <w:r w:rsidR="00540844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202</w:t>
      </w:r>
      <w:r w:rsidR="00893A63">
        <w:rPr>
          <w:rFonts w:ascii="仿宋_GB2312" w:eastAsia="仿宋_GB2312" w:hAnsi="仿宋"/>
          <w:color w:val="000000" w:themeColor="text1"/>
          <w:sz w:val="32"/>
          <w:szCs w:val="32"/>
        </w:rPr>
        <w:t>5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第二</w:t>
      </w:r>
      <w:r w:rsidR="00893A63">
        <w:rPr>
          <w:rFonts w:ascii="仿宋_GB2312" w:eastAsia="仿宋_GB2312" w:hAnsi="仿宋" w:hint="eastAsia"/>
          <w:color w:val="000000" w:themeColor="text1"/>
          <w:sz w:val="32"/>
          <w:szCs w:val="32"/>
        </w:rPr>
        <w:t>季度</w:t>
      </w:r>
      <w:r w:rsidR="00FC428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报告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全文于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20</w:t>
      </w:r>
      <w:r w:rsidR="004A4FE6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4A4FE6">
        <w:rPr>
          <w:rFonts w:ascii="仿宋_GB2312" w:eastAsia="仿宋_GB2312" w:hAnsi="仿宋"/>
          <w:color w:val="000000" w:themeColor="text1"/>
          <w:sz w:val="32"/>
          <w:szCs w:val="32"/>
        </w:rPr>
        <w:t>5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6620A1">
        <w:rPr>
          <w:rFonts w:ascii="仿宋_GB2312" w:eastAsia="仿宋_GB2312" w:hAnsi="仿宋"/>
          <w:color w:val="000000" w:themeColor="text1"/>
          <w:sz w:val="32"/>
          <w:szCs w:val="32"/>
        </w:rPr>
        <w:t>7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6620A1">
        <w:rPr>
          <w:rFonts w:ascii="仿宋_GB2312" w:eastAsia="仿宋_GB2312" w:hAnsi="仿宋"/>
          <w:color w:val="000000" w:themeColor="text1"/>
          <w:sz w:val="32"/>
          <w:szCs w:val="32"/>
        </w:rPr>
        <w:t>9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日在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本公司网站（</w:t>
      </w:r>
      <w:r w:rsidR="00DC5D37" w:rsidRPr="006620A1">
        <w:rPr>
          <w:rFonts w:ascii="仿宋_GB2312" w:eastAsia="仿宋_GB2312" w:hAnsi="仿宋" w:hint="eastAsia"/>
          <w:sz w:val="32"/>
          <w:szCs w:val="32"/>
        </w:rPr>
        <w:t>http://www.byfunds.com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）和中国证监会基金电子披露网站（</w:t>
      </w:r>
      <w:r w:rsidR="00DC5D37" w:rsidRPr="006620A1">
        <w:rPr>
          <w:rFonts w:ascii="仿宋_GB2312" w:eastAsia="仿宋_GB2312" w:hAnsi="仿宋" w:hint="eastAsia"/>
          <w:sz w:val="32"/>
          <w:szCs w:val="32"/>
        </w:rPr>
        <w:t>http://eid.csrc.gov.cn/fund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）披露，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供投资者查阅。如有疑问可拨打本公司客服电话（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400-8888-300 (免长话费)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）咨询。</w:t>
      </w:r>
    </w:p>
    <w:p w:rsidR="00BB3501" w:rsidRPr="00237AEE" w:rsidRDefault="00BB3501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本基金管</w:t>
      </w:r>
      <w:r w:rsidR="000C1032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A6087F" w:rsidRDefault="00BB3501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特此公告。</w:t>
      </w:r>
    </w:p>
    <w:p w:rsidR="00237AEE" w:rsidRDefault="00237AEE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237AEE" w:rsidRPr="00237AEE" w:rsidRDefault="00237AEE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BB3501" w:rsidRPr="00237AEE" w:rsidRDefault="00A6087F" w:rsidP="00237AEE">
      <w:pPr>
        <w:spacing w:line="360" w:lineRule="auto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                      宝盈基金管理有限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公司</w:t>
      </w:r>
    </w:p>
    <w:p w:rsidR="00BB3501" w:rsidRPr="00237AEE" w:rsidRDefault="00BB3501" w:rsidP="00237AEE">
      <w:pPr>
        <w:spacing w:line="360" w:lineRule="auto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                       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20</w:t>
      </w:r>
      <w:r w:rsidR="004A4FE6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4A4FE6">
        <w:rPr>
          <w:rFonts w:ascii="仿宋_GB2312" w:eastAsia="仿宋_GB2312" w:hAnsi="仿宋"/>
          <w:color w:val="000000" w:themeColor="text1"/>
          <w:sz w:val="32"/>
          <w:szCs w:val="32"/>
        </w:rPr>
        <w:t>5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316083">
        <w:rPr>
          <w:rFonts w:ascii="仿宋_GB2312" w:eastAsia="仿宋_GB2312" w:hAnsi="仿宋"/>
          <w:color w:val="000000" w:themeColor="text1"/>
          <w:sz w:val="32"/>
          <w:szCs w:val="32"/>
        </w:rPr>
        <w:t>7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316083">
        <w:rPr>
          <w:rFonts w:ascii="仿宋_GB2312" w:eastAsia="仿宋_GB2312" w:hAnsi="仿宋"/>
          <w:color w:val="000000" w:themeColor="text1"/>
          <w:sz w:val="32"/>
          <w:szCs w:val="32"/>
        </w:rPr>
        <w:t>19</w:t>
      </w:r>
      <w:bookmarkStart w:id="0" w:name="_GoBack"/>
      <w:bookmarkEnd w:id="0"/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日</w:t>
      </w:r>
    </w:p>
    <w:sectPr w:rsidR="00BB3501" w:rsidRPr="00237AE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4A9" w:rsidRDefault="005624A9" w:rsidP="009A149B">
      <w:r>
        <w:separator/>
      </w:r>
    </w:p>
  </w:endnote>
  <w:endnote w:type="continuationSeparator" w:id="0">
    <w:p w:rsidR="005624A9" w:rsidRDefault="005624A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E3BB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93E91" w:rsidRPr="00193E91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E3BB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93E91" w:rsidRPr="00193E9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4A9" w:rsidRDefault="005624A9" w:rsidP="009A149B">
      <w:r>
        <w:separator/>
      </w:r>
    </w:p>
  </w:footnote>
  <w:footnote w:type="continuationSeparator" w:id="0">
    <w:p w:rsidR="005624A9" w:rsidRDefault="005624A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49C8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E91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37AEE"/>
    <w:rsid w:val="002471D4"/>
    <w:rsid w:val="00253326"/>
    <w:rsid w:val="00261CDE"/>
    <w:rsid w:val="0026276F"/>
    <w:rsid w:val="00265E9A"/>
    <w:rsid w:val="00276CA4"/>
    <w:rsid w:val="00280D96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2050"/>
    <w:rsid w:val="0031471A"/>
    <w:rsid w:val="00316083"/>
    <w:rsid w:val="00332619"/>
    <w:rsid w:val="00333802"/>
    <w:rsid w:val="0034510B"/>
    <w:rsid w:val="003467B5"/>
    <w:rsid w:val="00355B7C"/>
    <w:rsid w:val="00361065"/>
    <w:rsid w:val="0036248F"/>
    <w:rsid w:val="00364635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3BB8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23B1"/>
    <w:rsid w:val="00487BF1"/>
    <w:rsid w:val="00491FCB"/>
    <w:rsid w:val="00497943"/>
    <w:rsid w:val="00497A8B"/>
    <w:rsid w:val="004A0E45"/>
    <w:rsid w:val="004A4FE6"/>
    <w:rsid w:val="004A54A6"/>
    <w:rsid w:val="004B1105"/>
    <w:rsid w:val="004C3109"/>
    <w:rsid w:val="004C44C4"/>
    <w:rsid w:val="004C625A"/>
    <w:rsid w:val="004C6355"/>
    <w:rsid w:val="004E1D5E"/>
    <w:rsid w:val="004E630B"/>
    <w:rsid w:val="004F1430"/>
    <w:rsid w:val="004F7313"/>
    <w:rsid w:val="005158A6"/>
    <w:rsid w:val="0052094C"/>
    <w:rsid w:val="00534A41"/>
    <w:rsid w:val="0053650E"/>
    <w:rsid w:val="00540844"/>
    <w:rsid w:val="00542535"/>
    <w:rsid w:val="00544E6E"/>
    <w:rsid w:val="00547910"/>
    <w:rsid w:val="00551033"/>
    <w:rsid w:val="00560AC4"/>
    <w:rsid w:val="005624A9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B13"/>
    <w:rsid w:val="005F4D9C"/>
    <w:rsid w:val="005F77F5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20A1"/>
    <w:rsid w:val="0066309A"/>
    <w:rsid w:val="00664B3F"/>
    <w:rsid w:val="0066627D"/>
    <w:rsid w:val="006832A2"/>
    <w:rsid w:val="00684A20"/>
    <w:rsid w:val="00690EC4"/>
    <w:rsid w:val="006962CB"/>
    <w:rsid w:val="006A0BB0"/>
    <w:rsid w:val="006A7C66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0D3B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277D"/>
    <w:rsid w:val="007D4066"/>
    <w:rsid w:val="007E3EED"/>
    <w:rsid w:val="007F136D"/>
    <w:rsid w:val="007F19F2"/>
    <w:rsid w:val="007F60CB"/>
    <w:rsid w:val="00801AAB"/>
    <w:rsid w:val="00804D02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A88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3A63"/>
    <w:rsid w:val="008A1AFA"/>
    <w:rsid w:val="008A2CE2"/>
    <w:rsid w:val="008A3460"/>
    <w:rsid w:val="008A61AC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68D"/>
    <w:rsid w:val="0092312D"/>
    <w:rsid w:val="00933628"/>
    <w:rsid w:val="009465EA"/>
    <w:rsid w:val="009506DC"/>
    <w:rsid w:val="0095513D"/>
    <w:rsid w:val="009566C4"/>
    <w:rsid w:val="00956DD9"/>
    <w:rsid w:val="009628AE"/>
    <w:rsid w:val="00967A04"/>
    <w:rsid w:val="00971095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2C9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87F"/>
    <w:rsid w:val="00A62B15"/>
    <w:rsid w:val="00A63901"/>
    <w:rsid w:val="00A63F21"/>
    <w:rsid w:val="00A7247E"/>
    <w:rsid w:val="00A72BFA"/>
    <w:rsid w:val="00A72FCD"/>
    <w:rsid w:val="00A74844"/>
    <w:rsid w:val="00A81D7B"/>
    <w:rsid w:val="00A87CAB"/>
    <w:rsid w:val="00A87DCB"/>
    <w:rsid w:val="00A96587"/>
    <w:rsid w:val="00AB49A1"/>
    <w:rsid w:val="00AC10B0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59F1"/>
    <w:rsid w:val="00B504F2"/>
    <w:rsid w:val="00B517DE"/>
    <w:rsid w:val="00B51CE1"/>
    <w:rsid w:val="00B61D0F"/>
    <w:rsid w:val="00B64EDD"/>
    <w:rsid w:val="00B6548B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A13"/>
    <w:rsid w:val="00BC6FFD"/>
    <w:rsid w:val="00BC778B"/>
    <w:rsid w:val="00BC7AFE"/>
    <w:rsid w:val="00BD1958"/>
    <w:rsid w:val="00BD3CFA"/>
    <w:rsid w:val="00BD65AF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FB5"/>
    <w:rsid w:val="00C22765"/>
    <w:rsid w:val="00C22816"/>
    <w:rsid w:val="00C232AD"/>
    <w:rsid w:val="00C234C6"/>
    <w:rsid w:val="00C2753D"/>
    <w:rsid w:val="00C3318B"/>
    <w:rsid w:val="00C3553B"/>
    <w:rsid w:val="00C41D59"/>
    <w:rsid w:val="00C42F02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D8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60F9"/>
    <w:rsid w:val="00CC2F35"/>
    <w:rsid w:val="00CC40C3"/>
    <w:rsid w:val="00CD42C4"/>
    <w:rsid w:val="00CE43F8"/>
    <w:rsid w:val="00CE5938"/>
    <w:rsid w:val="00CE7C8B"/>
    <w:rsid w:val="00CF01CC"/>
    <w:rsid w:val="00CF316A"/>
    <w:rsid w:val="00CF6D5C"/>
    <w:rsid w:val="00D06E8F"/>
    <w:rsid w:val="00D10B1F"/>
    <w:rsid w:val="00D11E1F"/>
    <w:rsid w:val="00D20C81"/>
    <w:rsid w:val="00D3262F"/>
    <w:rsid w:val="00D34479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5D3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F23"/>
    <w:rsid w:val="00F469D5"/>
    <w:rsid w:val="00F479BA"/>
    <w:rsid w:val="00F47FEE"/>
    <w:rsid w:val="00F527B3"/>
    <w:rsid w:val="00F52B6E"/>
    <w:rsid w:val="00F632AF"/>
    <w:rsid w:val="00F6382D"/>
    <w:rsid w:val="00F63F55"/>
    <w:rsid w:val="00F66378"/>
    <w:rsid w:val="00F71C51"/>
    <w:rsid w:val="00F75BB7"/>
    <w:rsid w:val="00F77F4B"/>
    <w:rsid w:val="00F9100C"/>
    <w:rsid w:val="00FA0934"/>
    <w:rsid w:val="00FA653D"/>
    <w:rsid w:val="00FB23EE"/>
    <w:rsid w:val="00FB732C"/>
    <w:rsid w:val="00FC34DF"/>
    <w:rsid w:val="00FC4080"/>
    <w:rsid w:val="00FC4281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DCFF3-A444-45D8-A646-F17D549E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1368</Characters>
  <Application>Microsoft Office Word</Application>
  <DocSecurity>4</DocSecurity>
  <Lines>11</Lines>
  <Paragraphs>3</Paragraphs>
  <ScaleCrop>false</ScaleCrop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2025-07-18T16:01:00Z</dcterms:created>
  <dcterms:modified xsi:type="dcterms:W3CDTF">2025-07-18T16:01:00Z</dcterms:modified>
</cp:coreProperties>
</file>