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jc w:val="center"/>
        <w:rPr>
          <w:rFonts w:ascii="宋体" w:hAnsi="宋体" w:hint="eastAsia"/>
          <w:b/>
          <w:sz w:val="48"/>
          <w:szCs w:val="48"/>
        </w:rPr>
      </w:pPr>
      <w:bookmarkStart w:id="0" w:name="t_2_0_table"/>
      <w:bookmarkEnd w:id="0"/>
      <w:r>
        <w:rPr>
          <w:rFonts w:ascii="宋体" w:hAnsi="宋体" w:hint="eastAsia"/>
          <w:b/>
          <w:sz w:val="48"/>
          <w:szCs w:val="48"/>
        </w:rPr>
        <w:t>兴银</w:t>
      </w:r>
      <w:r w:rsidR="00A87420">
        <w:rPr>
          <w:rFonts w:ascii="宋体" w:hAnsi="宋体" w:hint="eastAsia"/>
          <w:b/>
          <w:sz w:val="48"/>
          <w:szCs w:val="48"/>
        </w:rPr>
        <w:t>中债优选投资级信用债指数</w:t>
      </w:r>
      <w:r>
        <w:rPr>
          <w:rFonts w:ascii="宋体" w:hAnsi="宋体" w:hint="eastAsia"/>
          <w:b/>
          <w:sz w:val="48"/>
          <w:szCs w:val="48"/>
        </w:rPr>
        <w:t>证券投资基金开放日常</w:t>
      </w:r>
      <w:r w:rsidR="00B83454">
        <w:rPr>
          <w:rFonts w:ascii="宋体" w:hAnsi="宋体" w:hint="eastAsia"/>
          <w:b/>
          <w:sz w:val="48"/>
          <w:szCs w:val="48"/>
        </w:rPr>
        <w:t>赎回</w:t>
      </w:r>
      <w:r>
        <w:rPr>
          <w:rFonts w:ascii="宋体" w:hAnsi="宋体" w:hint="eastAsia"/>
          <w:b/>
          <w:sz w:val="48"/>
          <w:szCs w:val="48"/>
        </w:rPr>
        <w:t>业务的公告</w:t>
      </w:r>
    </w:p>
    <w:p w:rsidR="002C4356" w:rsidRDefault="002C4356">
      <w:pPr>
        <w:jc w:val="center"/>
        <w:rPr>
          <w:rFonts w:ascii="宋体" w:hAnsi="宋体" w:hint="eastAsia"/>
          <w:sz w:val="30"/>
          <w:szCs w:val="30"/>
        </w:rPr>
      </w:pPr>
    </w:p>
    <w:p w:rsidR="002C4356" w:rsidRDefault="002C4356">
      <w:pPr>
        <w:jc w:val="center"/>
        <w:rPr>
          <w:rFonts w:ascii="宋体" w:hAnsi="宋体" w:hint="eastAsia"/>
          <w:sz w:val="30"/>
          <w:szCs w:val="30"/>
        </w:rPr>
      </w:pPr>
      <w:bookmarkStart w:id="1" w:name="t_2_0_0002_a2_fm1"/>
      <w:bookmarkEnd w:id="1"/>
    </w:p>
    <w:p w:rsidR="002C4356" w:rsidRDefault="002C4356">
      <w:pPr>
        <w:jc w:val="center"/>
        <w:rPr>
          <w:rFonts w:ascii="宋体" w:hAnsi="宋体" w:hint="eastAsia"/>
          <w:sz w:val="30"/>
          <w:szCs w:val="30"/>
        </w:rPr>
      </w:pPr>
    </w:p>
    <w:p w:rsidR="002C4356" w:rsidRDefault="002C4356">
      <w:pPr>
        <w:jc w:val="center"/>
        <w:rPr>
          <w:rFonts w:ascii="宋体" w:hAnsi="宋体" w:hint="eastAsia"/>
          <w:sz w:val="30"/>
          <w:szCs w:val="30"/>
        </w:rPr>
      </w:pPr>
    </w:p>
    <w:p w:rsidR="002C4356" w:rsidRDefault="002C4356">
      <w:pPr>
        <w:jc w:val="center"/>
        <w:rPr>
          <w:rFonts w:ascii="宋体" w:hAnsi="宋体" w:hint="eastAsia"/>
          <w:sz w:val="30"/>
          <w:szCs w:val="30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rPr>
          <w:rFonts w:hint="eastAsia"/>
          <w:sz w:val="24"/>
        </w:rPr>
      </w:pPr>
    </w:p>
    <w:p w:rsidR="002C4356" w:rsidRDefault="002C4356">
      <w:pPr>
        <w:ind w:left="2100" w:firstLine="42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2_0_0003_a1_fm1"/>
      <w:bookmarkEnd w:id="2"/>
      <w:r w:rsidR="00A87420">
        <w:rPr>
          <w:rFonts w:ascii="宋体" w:hAnsi="宋体"/>
          <w:b/>
          <w:sz w:val="28"/>
          <w:szCs w:val="28"/>
        </w:rPr>
        <w:t>2025</w:t>
      </w:r>
      <w:r w:rsidR="00B83454">
        <w:rPr>
          <w:rFonts w:ascii="宋体" w:hAnsi="宋体"/>
          <w:b/>
          <w:sz w:val="28"/>
          <w:szCs w:val="28"/>
        </w:rPr>
        <w:t>年</w:t>
      </w:r>
      <w:r w:rsidR="00A87420">
        <w:rPr>
          <w:rFonts w:ascii="宋体" w:hAnsi="宋体"/>
          <w:b/>
          <w:sz w:val="28"/>
          <w:szCs w:val="28"/>
        </w:rPr>
        <w:t>7</w:t>
      </w:r>
      <w:r w:rsidR="00B83454">
        <w:rPr>
          <w:rFonts w:ascii="宋体" w:hAnsi="宋体"/>
          <w:b/>
          <w:sz w:val="28"/>
          <w:szCs w:val="28"/>
        </w:rPr>
        <w:t>月</w:t>
      </w:r>
      <w:r w:rsidR="00A87420">
        <w:rPr>
          <w:rFonts w:ascii="宋体" w:hAnsi="宋体"/>
          <w:b/>
          <w:sz w:val="28"/>
          <w:szCs w:val="28"/>
        </w:rPr>
        <w:t>19</w:t>
      </w:r>
      <w:r>
        <w:rPr>
          <w:rFonts w:ascii="宋体" w:hAnsi="宋体"/>
          <w:b/>
          <w:sz w:val="28"/>
          <w:szCs w:val="28"/>
        </w:rPr>
        <w:t>日</w:t>
      </w:r>
    </w:p>
    <w:p w:rsidR="002C4356" w:rsidRDefault="00B83454">
      <w:pPr>
        <w:pStyle w:val="2"/>
        <w:numPr>
          <w:ilvl w:val="0"/>
          <w:numId w:val="1"/>
        </w:numPr>
        <w:spacing w:beforeLines="50" w:afterLines="50" w:line="240" w:lineRule="auto"/>
        <w:rPr>
          <w:rFonts w:ascii="宋体" w:eastAsia="宋体" w:hAnsi="宋体" w:hint="eastAsia"/>
          <w:bCs/>
          <w:sz w:val="24"/>
          <w:szCs w:val="24"/>
        </w:rPr>
      </w:pPr>
      <w:bookmarkStart w:id="3" w:name="t_2_1_table"/>
      <w:bookmarkStart w:id="4" w:name="m01"/>
      <w:bookmarkEnd w:id="3"/>
      <w:r>
        <w:rPr>
          <w:rFonts w:ascii="宋体" w:eastAsia="宋体" w:hAnsi="宋体"/>
          <w:bCs/>
          <w:sz w:val="24"/>
          <w:szCs w:val="24"/>
        </w:rPr>
        <w:br w:type="page"/>
      </w:r>
      <w:r w:rsidR="002C4356">
        <w:rPr>
          <w:rFonts w:ascii="宋体" w:eastAsia="宋体" w:hAnsi="宋体" w:hint="eastAsia"/>
          <w:bCs/>
          <w:sz w:val="24"/>
          <w:szCs w:val="24"/>
        </w:rPr>
        <w:lastRenderedPageBreak/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  <w:gridCol w:w="2610"/>
        <w:gridCol w:w="2610"/>
      </w:tblGrid>
      <w:tr w:rsidR="00A87420">
        <w:tc>
          <w:tcPr>
            <w:tcW w:w="3600" w:type="dxa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bookmarkStart w:id="5" w:name="m01_tab"/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5220" w:type="dxa"/>
            <w:gridSpan w:val="2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bookmarkStart w:id="6" w:name="t_2_1_0009_a1_fm1"/>
            <w:bookmarkEnd w:id="6"/>
            <w:r>
              <w:rPr>
                <w:rFonts w:ascii="宋体" w:hAnsi="宋体" w:hint="eastAsia"/>
                <w:szCs w:val="21"/>
              </w:rPr>
              <w:t>兴银中债优选投资级信用债指数证券投资基金</w:t>
            </w:r>
          </w:p>
        </w:tc>
      </w:tr>
      <w:tr w:rsidR="00A87420">
        <w:tc>
          <w:tcPr>
            <w:tcW w:w="3600" w:type="dxa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5220" w:type="dxa"/>
            <w:gridSpan w:val="2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bookmarkStart w:id="7" w:name="t_2_1_0011_a1_fm1"/>
            <w:bookmarkEnd w:id="7"/>
            <w:r>
              <w:rPr>
                <w:rFonts w:ascii="宋体" w:hAnsi="宋体" w:hint="eastAsia"/>
                <w:szCs w:val="21"/>
              </w:rPr>
              <w:t>兴银中债优选投资级信用债指数</w:t>
            </w:r>
          </w:p>
        </w:tc>
      </w:tr>
      <w:tr w:rsidR="00A87420">
        <w:tc>
          <w:tcPr>
            <w:tcW w:w="3600" w:type="dxa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5220" w:type="dxa"/>
            <w:gridSpan w:val="2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bookmarkStart w:id="8" w:name="t_2_1_0012_a1_fm1"/>
            <w:bookmarkEnd w:id="8"/>
            <w:r w:rsidRPr="004063A8">
              <w:rPr>
                <w:rFonts w:ascii="宋体" w:hAnsi="宋体"/>
                <w:szCs w:val="21"/>
              </w:rPr>
              <w:t>023773</w:t>
            </w:r>
          </w:p>
        </w:tc>
      </w:tr>
      <w:tr w:rsidR="00A87420">
        <w:tc>
          <w:tcPr>
            <w:tcW w:w="3600" w:type="dxa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基金运作方式</w:t>
            </w:r>
          </w:p>
        </w:tc>
        <w:tc>
          <w:tcPr>
            <w:tcW w:w="5220" w:type="dxa"/>
            <w:gridSpan w:val="2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bookmarkStart w:id="9" w:name="t_2_1_0017_a1_fm1"/>
            <w:bookmarkEnd w:id="9"/>
            <w:r>
              <w:rPr>
                <w:rFonts w:ascii="宋体" w:hAnsi="宋体" w:hint="eastAsia"/>
                <w:szCs w:val="21"/>
              </w:rPr>
              <w:t>契约型开放式</w:t>
            </w:r>
          </w:p>
        </w:tc>
      </w:tr>
      <w:tr w:rsidR="00A87420">
        <w:tc>
          <w:tcPr>
            <w:tcW w:w="3600" w:type="dxa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基金合同生效日</w:t>
            </w:r>
          </w:p>
        </w:tc>
        <w:tc>
          <w:tcPr>
            <w:tcW w:w="5220" w:type="dxa"/>
            <w:gridSpan w:val="2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bookmarkStart w:id="10" w:name="t_2_1_0018_a1_fm1"/>
            <w:bookmarkEnd w:id="10"/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5年6月20日</w:t>
            </w:r>
          </w:p>
        </w:tc>
      </w:tr>
      <w:tr w:rsidR="00A87420">
        <w:tc>
          <w:tcPr>
            <w:tcW w:w="3600" w:type="dxa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5220" w:type="dxa"/>
            <w:gridSpan w:val="2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bookmarkStart w:id="11" w:name="t_2_1_0186_a1_fm1"/>
            <w:bookmarkEnd w:id="11"/>
            <w:r>
              <w:rPr>
                <w:rFonts w:ascii="宋体" w:hAnsi="宋体" w:hint="eastAsia"/>
                <w:szCs w:val="21"/>
              </w:rPr>
              <w:t>兴银基金管理有限责任公司</w:t>
            </w:r>
          </w:p>
        </w:tc>
      </w:tr>
      <w:tr w:rsidR="00A87420">
        <w:tc>
          <w:tcPr>
            <w:tcW w:w="3600" w:type="dxa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基金托管人名称</w:t>
            </w:r>
          </w:p>
        </w:tc>
        <w:tc>
          <w:tcPr>
            <w:tcW w:w="5220" w:type="dxa"/>
            <w:gridSpan w:val="2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bookmarkStart w:id="12" w:name="t_2_1_0213_a1_fm1"/>
            <w:bookmarkEnd w:id="12"/>
            <w:r>
              <w:rPr>
                <w:rFonts w:ascii="宋体" w:hAnsi="宋体" w:hint="eastAsia"/>
                <w:szCs w:val="21"/>
              </w:rPr>
              <w:t>兴业银行股份有限公司</w:t>
            </w:r>
          </w:p>
        </w:tc>
      </w:tr>
      <w:tr w:rsidR="00A87420">
        <w:tc>
          <w:tcPr>
            <w:tcW w:w="3600" w:type="dxa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基金注册登记机构名称</w:t>
            </w:r>
          </w:p>
        </w:tc>
        <w:tc>
          <w:tcPr>
            <w:tcW w:w="5220" w:type="dxa"/>
            <w:gridSpan w:val="2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bookmarkStart w:id="13" w:name="t_2_1_0310_a1_fm1"/>
            <w:bookmarkEnd w:id="13"/>
            <w:r>
              <w:rPr>
                <w:rFonts w:ascii="宋体" w:hAnsi="宋体" w:hint="eastAsia"/>
                <w:szCs w:val="21"/>
              </w:rPr>
              <w:t>兴银基金管理有限责任公司</w:t>
            </w:r>
          </w:p>
        </w:tc>
      </w:tr>
      <w:tr w:rsidR="002C4356">
        <w:tc>
          <w:tcPr>
            <w:tcW w:w="3600" w:type="dxa"/>
          </w:tcPr>
          <w:p w:rsidR="002C4356" w:rsidRDefault="002C435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5220" w:type="dxa"/>
            <w:gridSpan w:val="2"/>
          </w:tcPr>
          <w:p w:rsidR="002C4356" w:rsidRDefault="002C4356">
            <w:pPr>
              <w:rPr>
                <w:rFonts w:ascii="宋体" w:hAnsi="宋体" w:hint="eastAsia"/>
                <w:szCs w:val="21"/>
              </w:rPr>
            </w:pPr>
            <w:bookmarkStart w:id="14" w:name="t_2_1_2631_a1_fm1"/>
            <w:bookmarkEnd w:id="14"/>
            <w:r>
              <w:rPr>
                <w:rFonts w:ascii="宋体" w:hAnsi="宋体" w:hint="eastAsia"/>
                <w:szCs w:val="21"/>
              </w:rPr>
              <w:t>《中华人民共和国证券投资基金法》《公开</w:t>
            </w:r>
            <w:r>
              <w:rPr>
                <w:rFonts w:ascii="宋体" w:hAnsi="宋体"/>
                <w:szCs w:val="21"/>
              </w:rPr>
              <w:t>募集</w:t>
            </w:r>
            <w:r>
              <w:rPr>
                <w:rFonts w:ascii="宋体" w:hAnsi="宋体" w:hint="eastAsia"/>
                <w:szCs w:val="21"/>
              </w:rPr>
              <w:t>证券投资基金信息披露管理办法》《公开募集证券投资基金运作管理办法》等法律法规以及《兴银</w:t>
            </w:r>
            <w:r w:rsidR="00A87420">
              <w:rPr>
                <w:rFonts w:ascii="宋体" w:hAnsi="宋体" w:hint="eastAsia"/>
                <w:szCs w:val="21"/>
              </w:rPr>
              <w:t>中债优选投资级信用债指数</w:t>
            </w:r>
            <w:r>
              <w:rPr>
                <w:rFonts w:ascii="宋体" w:hAnsi="宋体" w:hint="eastAsia"/>
                <w:szCs w:val="21"/>
              </w:rPr>
              <w:t>证券投资基金基金合同》《兴银</w:t>
            </w:r>
            <w:r w:rsidR="00A87420">
              <w:rPr>
                <w:rFonts w:ascii="宋体" w:hAnsi="宋体" w:hint="eastAsia"/>
                <w:szCs w:val="21"/>
              </w:rPr>
              <w:t>中债优选投资级信用债指数</w:t>
            </w:r>
            <w:r>
              <w:rPr>
                <w:rFonts w:ascii="宋体" w:hAnsi="宋体" w:hint="eastAsia"/>
                <w:szCs w:val="21"/>
              </w:rPr>
              <w:t>证券投资基金招募说明书》等</w:t>
            </w:r>
          </w:p>
        </w:tc>
      </w:tr>
      <w:tr w:rsidR="002C4356">
        <w:tc>
          <w:tcPr>
            <w:tcW w:w="3600" w:type="dxa"/>
          </w:tcPr>
          <w:p w:rsidR="002C4356" w:rsidRDefault="002C435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赎回起始日</w:t>
            </w:r>
          </w:p>
        </w:tc>
        <w:tc>
          <w:tcPr>
            <w:tcW w:w="5220" w:type="dxa"/>
            <w:gridSpan w:val="2"/>
          </w:tcPr>
          <w:p w:rsidR="002C4356" w:rsidRDefault="00A87420" w:rsidP="00A87420">
            <w:pPr>
              <w:rPr>
                <w:rFonts w:ascii="宋体" w:hAnsi="宋体" w:hint="eastAsia"/>
                <w:szCs w:val="21"/>
              </w:rPr>
            </w:pPr>
            <w:bookmarkStart w:id="15" w:name="t_2_1_2661_a1_fm1"/>
            <w:bookmarkEnd w:id="15"/>
            <w:r>
              <w:rPr>
                <w:rFonts w:ascii="宋体" w:hAnsi="宋体"/>
                <w:szCs w:val="21"/>
              </w:rPr>
              <w:t>2025</w:t>
            </w:r>
            <w:r w:rsidR="00B83454"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7</w:t>
            </w:r>
            <w:r w:rsidR="00B83454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21</w:t>
            </w:r>
            <w:r w:rsidR="00B83454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C4356">
        <w:tc>
          <w:tcPr>
            <w:tcW w:w="3600" w:type="dxa"/>
          </w:tcPr>
          <w:p w:rsidR="002C4356" w:rsidRDefault="002C435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下属分级基金的基金简称</w:t>
            </w:r>
          </w:p>
        </w:tc>
        <w:tc>
          <w:tcPr>
            <w:tcW w:w="2610" w:type="dxa"/>
          </w:tcPr>
          <w:p w:rsidR="002C4356" w:rsidRDefault="00A8742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兴银中债优选投资级信用债指数</w:t>
            </w:r>
            <w:r w:rsidR="002C4356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610" w:type="dxa"/>
          </w:tcPr>
          <w:p w:rsidR="002C4356" w:rsidRDefault="00A8742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兴银中债优选投资级信用债指数</w:t>
            </w:r>
            <w:r w:rsidR="002C4356">
              <w:rPr>
                <w:rFonts w:ascii="宋体" w:hAnsi="宋体" w:hint="eastAsia"/>
                <w:szCs w:val="21"/>
              </w:rPr>
              <w:t>C</w:t>
            </w:r>
          </w:p>
        </w:tc>
      </w:tr>
      <w:tr w:rsidR="00A87420">
        <w:tc>
          <w:tcPr>
            <w:tcW w:w="3600" w:type="dxa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下属分级基金的交易代码</w:t>
            </w:r>
          </w:p>
        </w:tc>
        <w:tc>
          <w:tcPr>
            <w:tcW w:w="2610" w:type="dxa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r w:rsidRPr="004063A8">
              <w:rPr>
                <w:rFonts w:ascii="宋体" w:hAnsi="宋体"/>
                <w:szCs w:val="21"/>
              </w:rPr>
              <w:t>023773</w:t>
            </w:r>
          </w:p>
        </w:tc>
        <w:tc>
          <w:tcPr>
            <w:tcW w:w="2610" w:type="dxa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r w:rsidRPr="004063A8">
              <w:rPr>
                <w:rFonts w:ascii="宋体" w:hAnsi="宋体"/>
                <w:szCs w:val="21"/>
              </w:rPr>
              <w:t>023774</w:t>
            </w:r>
          </w:p>
        </w:tc>
      </w:tr>
      <w:tr w:rsidR="00A87420">
        <w:tc>
          <w:tcPr>
            <w:tcW w:w="3600" w:type="dxa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该分级基金是否开放赎回</w:t>
            </w:r>
          </w:p>
        </w:tc>
        <w:tc>
          <w:tcPr>
            <w:tcW w:w="2610" w:type="dxa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2610" w:type="dxa"/>
          </w:tcPr>
          <w:p w:rsidR="00A87420" w:rsidRDefault="00A87420" w:rsidP="00A8742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bookmarkEnd w:id="4"/>
      <w:bookmarkEnd w:id="5"/>
    </w:tbl>
    <w:p w:rsidR="002C4356" w:rsidRDefault="002C4356">
      <w:pPr>
        <w:rPr>
          <w:rFonts w:ascii="宋体" w:hAnsi="宋体" w:hint="eastAsia"/>
          <w:kern w:val="0"/>
          <w:sz w:val="18"/>
        </w:rPr>
      </w:pPr>
    </w:p>
    <w:p w:rsidR="002C4356" w:rsidRDefault="002C4356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16" w:name="t_2_2_table"/>
      <w:bookmarkEnd w:id="16"/>
      <w:r>
        <w:rPr>
          <w:rFonts w:ascii="宋体" w:eastAsia="宋体" w:hAnsi="宋体" w:hint="eastAsia"/>
          <w:bCs/>
          <w:sz w:val="24"/>
          <w:szCs w:val="24"/>
        </w:rPr>
        <w:t>日常</w:t>
      </w:r>
      <w:r w:rsidR="00B83454">
        <w:rPr>
          <w:rFonts w:ascii="宋体" w:eastAsia="宋体" w:hAnsi="宋体" w:hint="eastAsia"/>
          <w:bCs/>
          <w:sz w:val="24"/>
          <w:szCs w:val="24"/>
          <w:lang w:eastAsia="zh-CN"/>
        </w:rPr>
        <w:t>赎回</w:t>
      </w:r>
      <w:r>
        <w:rPr>
          <w:rFonts w:ascii="宋体" w:eastAsia="宋体" w:hAnsi="宋体" w:hint="eastAsia"/>
          <w:bCs/>
          <w:sz w:val="24"/>
          <w:szCs w:val="24"/>
        </w:rPr>
        <w:t>业务的办理时间</w:t>
      </w:r>
    </w:p>
    <w:p w:rsidR="002C4356" w:rsidRDefault="002C4356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17" w:name="t_2_2_2819_a1_fm1"/>
      <w:bookmarkEnd w:id="17"/>
      <w:r>
        <w:rPr>
          <w:rFonts w:ascii="宋体" w:hAnsi="宋体" w:hint="eastAsia"/>
          <w:szCs w:val="21"/>
        </w:rPr>
        <w:t>投资人在开放日办理基金份额的</w:t>
      </w:r>
      <w:r w:rsidR="00B83454">
        <w:rPr>
          <w:rFonts w:ascii="宋体" w:hAnsi="宋体"/>
          <w:szCs w:val="21"/>
        </w:rPr>
        <w:t>赎回</w:t>
      </w:r>
      <w:r>
        <w:rPr>
          <w:rFonts w:ascii="宋体" w:hAnsi="宋体" w:hint="eastAsia"/>
          <w:szCs w:val="21"/>
        </w:rPr>
        <w:t>，具体办理时间为上海证券交易所、深圳证券交易所的正常交易日的交易时间，但基金管理人根据法律法规、中国证监会的要求或基金合同的规定公告暂停</w:t>
      </w:r>
      <w:r w:rsidR="001726B1">
        <w:rPr>
          <w:rFonts w:ascii="宋体" w:hAnsi="宋体" w:hint="eastAsia"/>
          <w:szCs w:val="21"/>
        </w:rPr>
        <w:t>赎回</w:t>
      </w:r>
      <w:r>
        <w:rPr>
          <w:rFonts w:ascii="宋体" w:hAnsi="宋体" w:hint="eastAsia"/>
          <w:szCs w:val="21"/>
        </w:rPr>
        <w:t>时除外。</w:t>
      </w:r>
    </w:p>
    <w:p w:rsidR="002C4356" w:rsidRDefault="002C4356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基金合同生效后，若出现新的证券交易市场、证券交易所交易时间变更或其他特殊情况，基金管理人将视情况对前述开放日及开放时间进行相应的调整，但应在实施日前依照《信息披露办法》的有关规定在</w:t>
      </w:r>
      <w:r w:rsidR="001B2B27">
        <w:rPr>
          <w:rFonts w:ascii="宋体" w:hAnsi="宋体" w:hint="eastAsia"/>
          <w:szCs w:val="21"/>
        </w:rPr>
        <w:t>规定</w:t>
      </w:r>
      <w:r>
        <w:rPr>
          <w:rFonts w:ascii="宋体" w:hAnsi="宋体" w:hint="eastAsia"/>
          <w:szCs w:val="21"/>
        </w:rPr>
        <w:t>媒介上公告。</w:t>
      </w:r>
    </w:p>
    <w:p w:rsidR="002C4356" w:rsidRDefault="002C4356">
      <w:pPr>
        <w:pStyle w:val="2"/>
        <w:numPr>
          <w:ilvl w:val="0"/>
          <w:numId w:val="1"/>
        </w:numPr>
        <w:spacing w:beforeLines="50" w:afterLines="50" w:line="240" w:lineRule="auto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日常</w:t>
      </w:r>
      <w:r w:rsidR="006315E8">
        <w:rPr>
          <w:rFonts w:ascii="宋体" w:eastAsia="宋体" w:hAnsi="宋体" w:hint="eastAsia"/>
          <w:bCs/>
          <w:sz w:val="24"/>
          <w:szCs w:val="24"/>
          <w:lang w:eastAsia="zh-CN"/>
        </w:rPr>
        <w:t>赎回</w:t>
      </w:r>
      <w:r>
        <w:rPr>
          <w:rFonts w:ascii="宋体" w:eastAsia="宋体" w:hAnsi="宋体" w:hint="eastAsia"/>
          <w:bCs/>
          <w:sz w:val="24"/>
          <w:szCs w:val="24"/>
        </w:rPr>
        <w:t>业务</w:t>
      </w:r>
    </w:p>
    <w:p w:rsidR="002C4356" w:rsidRDefault="001726B1">
      <w:pPr>
        <w:numPr>
          <w:ilvl w:val="1"/>
          <w:numId w:val="1"/>
        </w:numPr>
        <w:spacing w:beforeLines="50" w:afterLines="50"/>
        <w:rPr>
          <w:rFonts w:ascii="宋体" w:hAnsi="宋体" w:hint="eastAsia"/>
          <w:b/>
          <w:sz w:val="24"/>
          <w:szCs w:val="20"/>
        </w:rPr>
      </w:pPr>
      <w:bookmarkStart w:id="18" w:name="t_2_3_1_table"/>
      <w:bookmarkEnd w:id="18"/>
      <w:r>
        <w:rPr>
          <w:rFonts w:ascii="宋体" w:hAnsi="宋体" w:hint="eastAsia"/>
          <w:b/>
          <w:sz w:val="24"/>
          <w:szCs w:val="20"/>
        </w:rPr>
        <w:t>赎回</w:t>
      </w:r>
      <w:r w:rsidR="00D35B94">
        <w:rPr>
          <w:rFonts w:ascii="宋体" w:hAnsi="宋体" w:hint="eastAsia"/>
          <w:b/>
          <w:sz w:val="24"/>
          <w:szCs w:val="20"/>
        </w:rPr>
        <w:t>份额</w:t>
      </w:r>
      <w:r w:rsidR="002C4356">
        <w:rPr>
          <w:rFonts w:ascii="宋体" w:hAnsi="宋体" w:hint="eastAsia"/>
          <w:b/>
          <w:sz w:val="24"/>
          <w:szCs w:val="20"/>
        </w:rPr>
        <w:t>限制</w:t>
      </w:r>
    </w:p>
    <w:p w:rsidR="006315E8" w:rsidRPr="00ED2AFF" w:rsidRDefault="006315E8" w:rsidP="006315E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9" w:name="t_2_3_1_2820_a1_fm1"/>
      <w:bookmarkEnd w:id="19"/>
      <w:r w:rsidRPr="00ED2AFF">
        <w:rPr>
          <w:rFonts w:ascii="宋体" w:hAnsi="宋体" w:hint="eastAsia"/>
          <w:szCs w:val="21"/>
        </w:rPr>
        <w:t>（</w:t>
      </w:r>
      <w:r w:rsidRPr="00ED2AFF">
        <w:rPr>
          <w:rFonts w:ascii="宋体" w:hAnsi="宋体"/>
          <w:szCs w:val="21"/>
        </w:rPr>
        <w:t>1）</w:t>
      </w:r>
      <w:r w:rsidR="00A87420" w:rsidRPr="00A87420">
        <w:rPr>
          <w:rFonts w:ascii="宋体" w:hAnsi="宋体" w:hint="eastAsia"/>
          <w:szCs w:val="21"/>
        </w:rPr>
        <w:t>基金份额持有人在销售机构赎回时，每次赎回申请不低于10份基金份额。基金份额持有人赎回时或赎回后在销售机构（网点）保留的基金份额余额不足10份的，在赎回时需一次全部赎回。</w:t>
      </w:r>
    </w:p>
    <w:p w:rsidR="006315E8" w:rsidRPr="00ED2AFF" w:rsidRDefault="006315E8" w:rsidP="006315E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ED2AFF">
        <w:rPr>
          <w:rFonts w:ascii="宋体" w:hAnsi="宋体" w:hint="eastAsia"/>
          <w:szCs w:val="21"/>
        </w:rPr>
        <w:t>（</w:t>
      </w:r>
      <w:r w:rsidRPr="00ED2AFF">
        <w:rPr>
          <w:rFonts w:ascii="宋体" w:hAnsi="宋体"/>
          <w:szCs w:val="21"/>
        </w:rPr>
        <w:t>2）基金管理人可以根据市场情况，在法律法规允许的情况下，调整上述规定赎回份额的数量限制。但基金管理人必须在调整实施前依照有关规定在指定媒介上公告。</w:t>
      </w:r>
    </w:p>
    <w:p w:rsidR="006315E8" w:rsidRPr="00ED2AFF" w:rsidRDefault="006315E8" w:rsidP="006315E8">
      <w:pPr>
        <w:pStyle w:val="2"/>
        <w:numPr>
          <w:ilvl w:val="1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20" w:name="m04_02"/>
      <w:r w:rsidRPr="00ED2AFF">
        <w:rPr>
          <w:rFonts w:ascii="宋体" w:eastAsia="宋体" w:hAnsi="宋体" w:hint="eastAsia"/>
          <w:bCs/>
          <w:sz w:val="24"/>
          <w:szCs w:val="24"/>
        </w:rPr>
        <w:lastRenderedPageBreak/>
        <w:t>赎回费率</w:t>
      </w:r>
    </w:p>
    <w:p w:rsidR="00A87420" w:rsidRPr="00A87420" w:rsidRDefault="00A87420" w:rsidP="00A87420">
      <w:pPr>
        <w:tabs>
          <w:tab w:val="left" w:pos="1110"/>
        </w:tabs>
        <w:spacing w:line="360" w:lineRule="auto"/>
        <w:ind w:firstLineChars="200" w:firstLine="420"/>
        <w:rPr>
          <w:rFonts w:ascii="宋体" w:hAnsi="宋体"/>
          <w:szCs w:val="21"/>
        </w:rPr>
      </w:pPr>
      <w:bookmarkStart w:id="21" w:name="m03_02_02"/>
      <w:r w:rsidRPr="00A87420">
        <w:rPr>
          <w:rFonts w:ascii="宋体" w:hAnsi="宋体" w:hint="eastAsia"/>
          <w:szCs w:val="21"/>
        </w:rPr>
        <w:t>本基金的赎回费率如下：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0"/>
        <w:gridCol w:w="4493"/>
      </w:tblGrid>
      <w:tr w:rsidR="00A87420" w:rsidRPr="00A87420" w:rsidTr="00E11C1F">
        <w:trPr>
          <w:jc w:val="center"/>
        </w:trPr>
        <w:tc>
          <w:tcPr>
            <w:tcW w:w="3270" w:type="dxa"/>
            <w:vAlign w:val="center"/>
          </w:tcPr>
          <w:p w:rsidR="00A87420" w:rsidRPr="00A87420" w:rsidRDefault="00A87420" w:rsidP="00E11C1F">
            <w:pPr>
              <w:tabs>
                <w:tab w:val="left" w:pos="111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7420">
              <w:rPr>
                <w:rFonts w:ascii="宋体" w:hAnsi="宋体"/>
                <w:szCs w:val="21"/>
              </w:rPr>
              <w:t>持有时间</w:t>
            </w:r>
            <w:r w:rsidRPr="00A87420">
              <w:rPr>
                <w:rFonts w:ascii="宋体" w:hAnsi="宋体" w:hint="eastAsia"/>
                <w:szCs w:val="21"/>
              </w:rPr>
              <w:t>T</w:t>
            </w:r>
          </w:p>
        </w:tc>
        <w:tc>
          <w:tcPr>
            <w:tcW w:w="4493" w:type="dxa"/>
            <w:vAlign w:val="center"/>
          </w:tcPr>
          <w:p w:rsidR="00A87420" w:rsidRPr="00A87420" w:rsidRDefault="00A87420" w:rsidP="00E11C1F">
            <w:pPr>
              <w:tabs>
                <w:tab w:val="left" w:pos="111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7420">
              <w:rPr>
                <w:rFonts w:ascii="宋体" w:hAnsi="宋体" w:hint="eastAsia"/>
                <w:szCs w:val="21"/>
              </w:rPr>
              <w:t>A类/</w:t>
            </w:r>
            <w:r w:rsidRPr="00A87420">
              <w:rPr>
                <w:rFonts w:ascii="宋体" w:hAnsi="宋体"/>
                <w:szCs w:val="21"/>
              </w:rPr>
              <w:t>C类基金份额赎回费率</w:t>
            </w:r>
          </w:p>
        </w:tc>
      </w:tr>
      <w:tr w:rsidR="00A87420" w:rsidRPr="00A87420" w:rsidTr="00E11C1F">
        <w:trPr>
          <w:jc w:val="center"/>
        </w:trPr>
        <w:tc>
          <w:tcPr>
            <w:tcW w:w="3270" w:type="dxa"/>
            <w:vAlign w:val="center"/>
          </w:tcPr>
          <w:p w:rsidR="00A87420" w:rsidRPr="00A87420" w:rsidRDefault="00A87420" w:rsidP="00E11C1F">
            <w:pPr>
              <w:tabs>
                <w:tab w:val="left" w:pos="111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7420">
              <w:rPr>
                <w:rFonts w:ascii="宋体" w:hAnsi="宋体"/>
                <w:szCs w:val="21"/>
              </w:rPr>
              <w:t>T＜</w:t>
            </w:r>
            <w:r w:rsidRPr="00A87420">
              <w:rPr>
                <w:rFonts w:ascii="宋体" w:hAnsi="宋体" w:hint="eastAsia"/>
                <w:szCs w:val="21"/>
              </w:rPr>
              <w:t>7日</w:t>
            </w:r>
          </w:p>
        </w:tc>
        <w:tc>
          <w:tcPr>
            <w:tcW w:w="4493" w:type="dxa"/>
            <w:vAlign w:val="center"/>
          </w:tcPr>
          <w:p w:rsidR="00A87420" w:rsidRPr="00A87420" w:rsidRDefault="00A87420" w:rsidP="00E11C1F">
            <w:pPr>
              <w:tabs>
                <w:tab w:val="left" w:pos="111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7420">
              <w:rPr>
                <w:rFonts w:ascii="宋体" w:hAnsi="宋体"/>
                <w:szCs w:val="21"/>
              </w:rPr>
              <w:t>1.50</w:t>
            </w:r>
            <w:r w:rsidRPr="00A87420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A87420" w:rsidRPr="00A87420" w:rsidTr="00E11C1F">
        <w:trPr>
          <w:jc w:val="center"/>
        </w:trPr>
        <w:tc>
          <w:tcPr>
            <w:tcW w:w="3270" w:type="dxa"/>
            <w:vAlign w:val="center"/>
          </w:tcPr>
          <w:p w:rsidR="00A87420" w:rsidRPr="00A87420" w:rsidRDefault="00A87420" w:rsidP="00E11C1F">
            <w:pPr>
              <w:tabs>
                <w:tab w:val="left" w:pos="111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7420">
              <w:rPr>
                <w:rFonts w:ascii="宋体" w:hAnsi="宋体"/>
                <w:szCs w:val="21"/>
              </w:rPr>
              <w:t>T≥7日</w:t>
            </w:r>
          </w:p>
        </w:tc>
        <w:tc>
          <w:tcPr>
            <w:tcW w:w="4493" w:type="dxa"/>
            <w:vAlign w:val="center"/>
          </w:tcPr>
          <w:p w:rsidR="00A87420" w:rsidRPr="00A87420" w:rsidRDefault="00A87420" w:rsidP="00E11C1F">
            <w:pPr>
              <w:tabs>
                <w:tab w:val="left" w:pos="111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7420">
              <w:rPr>
                <w:rFonts w:ascii="宋体" w:hAnsi="宋体"/>
                <w:szCs w:val="21"/>
              </w:rPr>
              <w:t>0</w:t>
            </w:r>
            <w:r w:rsidRPr="00A87420">
              <w:rPr>
                <w:rFonts w:ascii="宋体" w:hAnsi="宋体" w:hint="eastAsia"/>
                <w:szCs w:val="21"/>
              </w:rPr>
              <w:t>%</w:t>
            </w:r>
          </w:p>
        </w:tc>
      </w:tr>
    </w:tbl>
    <w:p w:rsidR="00A87420" w:rsidRPr="00A87420" w:rsidRDefault="00A87420" w:rsidP="00A87420">
      <w:pPr>
        <w:tabs>
          <w:tab w:val="left" w:pos="1110"/>
        </w:tabs>
        <w:spacing w:line="360" w:lineRule="auto"/>
        <w:ind w:firstLineChars="200" w:firstLine="420"/>
        <w:rPr>
          <w:rFonts w:ascii="宋体" w:hAnsi="宋体"/>
          <w:szCs w:val="21"/>
        </w:rPr>
      </w:pPr>
      <w:r w:rsidRPr="00A87420">
        <w:rPr>
          <w:rFonts w:ascii="宋体" w:hAnsi="宋体" w:hint="eastAsia"/>
          <w:szCs w:val="21"/>
        </w:rPr>
        <w:t>赎回费用由赎回基金份额的基金份额持有人承担，在基金份额持有人赎回基金份额时收取。对持续持有期少于7日的投资者收取的赎回费全额计入基金财产。</w:t>
      </w:r>
    </w:p>
    <w:p w:rsidR="006315E8" w:rsidRPr="00ED2AFF" w:rsidRDefault="006315E8" w:rsidP="00523335">
      <w:pPr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bookmarkEnd w:id="20"/>
    <w:bookmarkEnd w:id="21"/>
    <w:p w:rsidR="006315E8" w:rsidRPr="00ED2AFF" w:rsidRDefault="006315E8" w:rsidP="006315E8">
      <w:pPr>
        <w:numPr>
          <w:ilvl w:val="1"/>
          <w:numId w:val="1"/>
        </w:numPr>
        <w:spacing w:beforeLines="50" w:afterLines="50"/>
        <w:rPr>
          <w:rFonts w:ascii="宋体" w:hAnsi="宋体" w:hint="eastAsia"/>
          <w:b/>
          <w:sz w:val="24"/>
          <w:szCs w:val="20"/>
        </w:rPr>
      </w:pPr>
      <w:r w:rsidRPr="00ED2AFF">
        <w:rPr>
          <w:rFonts w:ascii="宋体" w:hAnsi="宋体" w:hint="eastAsia"/>
          <w:b/>
          <w:sz w:val="24"/>
          <w:szCs w:val="20"/>
        </w:rPr>
        <w:t>其他与赎回相关的事项</w:t>
      </w:r>
    </w:p>
    <w:p w:rsidR="006315E8" w:rsidRPr="00ED2AFF" w:rsidRDefault="006315E8" w:rsidP="006315E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ED2AFF">
        <w:rPr>
          <w:rFonts w:ascii="宋体" w:hAnsi="宋体" w:hint="eastAsia"/>
          <w:szCs w:val="21"/>
        </w:rPr>
        <w:t>（</w:t>
      </w:r>
      <w:r w:rsidRPr="00ED2AFF">
        <w:rPr>
          <w:rFonts w:ascii="宋体" w:hAnsi="宋体"/>
          <w:szCs w:val="21"/>
        </w:rPr>
        <w:t>1）“未知价”原则，即赎回价格以申请当日收市后计算的基金份额净值为基准进行计算；</w:t>
      </w:r>
    </w:p>
    <w:p w:rsidR="006315E8" w:rsidRPr="00ED2AFF" w:rsidRDefault="006315E8" w:rsidP="006315E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ED2AFF">
        <w:rPr>
          <w:rFonts w:ascii="宋体" w:hAnsi="宋体" w:hint="eastAsia"/>
          <w:szCs w:val="21"/>
        </w:rPr>
        <w:t>（</w:t>
      </w:r>
      <w:r w:rsidRPr="00ED2AFF">
        <w:rPr>
          <w:rFonts w:ascii="宋体" w:hAnsi="宋体"/>
          <w:szCs w:val="21"/>
        </w:rPr>
        <w:t>2）“份额赎回”原则，即赎回以份额申请；</w:t>
      </w:r>
    </w:p>
    <w:p w:rsidR="006315E8" w:rsidRPr="00ED2AFF" w:rsidRDefault="006315E8" w:rsidP="006315E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ED2AFF">
        <w:rPr>
          <w:rFonts w:ascii="宋体" w:hAnsi="宋体" w:hint="eastAsia"/>
          <w:szCs w:val="21"/>
        </w:rPr>
        <w:t>（</w:t>
      </w:r>
      <w:r w:rsidRPr="00ED2AFF">
        <w:rPr>
          <w:rFonts w:ascii="宋体" w:hAnsi="宋体"/>
          <w:szCs w:val="21"/>
        </w:rPr>
        <w:t>3）当日的赎回申请可以在基金管理人规定的时间以内撤销；</w:t>
      </w:r>
    </w:p>
    <w:p w:rsidR="006315E8" w:rsidRPr="00ED2AFF" w:rsidRDefault="006315E8" w:rsidP="006315E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ED2AFF">
        <w:rPr>
          <w:rFonts w:ascii="宋体" w:hAnsi="宋体" w:hint="eastAsia"/>
          <w:szCs w:val="21"/>
        </w:rPr>
        <w:t>（</w:t>
      </w:r>
      <w:r w:rsidRPr="00ED2AFF">
        <w:rPr>
          <w:rFonts w:ascii="宋体" w:hAnsi="宋体"/>
          <w:szCs w:val="21"/>
        </w:rPr>
        <w:t>4）赎回遵循“先进先出”原则，即按照投资人认购、申购的先后次序进行顺序赎回。</w:t>
      </w:r>
    </w:p>
    <w:p w:rsidR="002C4356" w:rsidRDefault="006315E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ED2AFF">
        <w:rPr>
          <w:rFonts w:ascii="宋体" w:hAnsi="宋体" w:hint="eastAsia"/>
          <w:szCs w:val="21"/>
        </w:rPr>
        <w:t>基金管理人可在法律法规允许的情况下，对上述原则进行调整。基金管理人必须在新规则开始实施前依照《信息披露办法》的有关规定在指定媒介上公告。</w:t>
      </w:r>
      <w:bookmarkStart w:id="22" w:name="t_2_3_2_table"/>
      <w:bookmarkStart w:id="23" w:name="t_2_3_2_2842_a1_fm1"/>
      <w:bookmarkStart w:id="24" w:name="t_2_3_3_table"/>
      <w:bookmarkStart w:id="25" w:name="t_2_3_3_2821_a1_fm1"/>
      <w:bookmarkEnd w:id="22"/>
      <w:bookmarkEnd w:id="23"/>
      <w:bookmarkEnd w:id="24"/>
      <w:bookmarkEnd w:id="25"/>
    </w:p>
    <w:p w:rsidR="002C4356" w:rsidRDefault="002C4356">
      <w:pPr>
        <w:rPr>
          <w:rFonts w:ascii="宋体" w:hAnsi="宋体"/>
          <w:bCs/>
          <w:sz w:val="24"/>
          <w:szCs w:val="24"/>
        </w:rPr>
      </w:pPr>
      <w:bookmarkStart w:id="26" w:name="t_2_4_1_2822_a1_fm1"/>
      <w:bookmarkStart w:id="27" w:name="t_2_4_2_table"/>
      <w:bookmarkStart w:id="28" w:name="t_2_4_2_2843_a1_fm1"/>
      <w:bookmarkStart w:id="29" w:name="t_2_4_3_table"/>
      <w:bookmarkStart w:id="30" w:name="t_2_4_3_2823_a1_fm1"/>
      <w:bookmarkStart w:id="31" w:name="t_2_5_table"/>
      <w:bookmarkEnd w:id="26"/>
      <w:bookmarkEnd w:id="27"/>
      <w:bookmarkEnd w:id="28"/>
      <w:bookmarkEnd w:id="29"/>
      <w:bookmarkEnd w:id="30"/>
      <w:bookmarkEnd w:id="31"/>
    </w:p>
    <w:p w:rsidR="002C4356" w:rsidRDefault="002C4356">
      <w:pPr>
        <w:pStyle w:val="2"/>
        <w:numPr>
          <w:ilvl w:val="0"/>
          <w:numId w:val="1"/>
        </w:numPr>
        <w:spacing w:beforeLines="50" w:afterLines="50" w:line="240" w:lineRule="auto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基金销售机构</w:t>
      </w:r>
    </w:p>
    <w:p w:rsidR="002C4356" w:rsidRDefault="002C4356">
      <w:pPr>
        <w:numPr>
          <w:ilvl w:val="1"/>
          <w:numId w:val="1"/>
        </w:numPr>
        <w:spacing w:beforeLines="50" w:afterLines="50"/>
        <w:jc w:val="left"/>
        <w:rPr>
          <w:rFonts w:ascii="宋体" w:hAnsi="宋体" w:hint="eastAsia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场外销售机构</w:t>
      </w:r>
    </w:p>
    <w:p w:rsidR="002C4356" w:rsidRDefault="002C4356">
      <w:pPr>
        <w:numPr>
          <w:ilvl w:val="2"/>
          <w:numId w:val="1"/>
        </w:numPr>
        <w:spacing w:beforeLines="50" w:afterLines="50"/>
        <w:jc w:val="left"/>
        <w:rPr>
          <w:rFonts w:ascii="宋体" w:hAnsi="宋体" w:hint="eastAsia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直销机构</w:t>
      </w:r>
    </w:p>
    <w:p w:rsidR="002C4356" w:rsidRDefault="002C4356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32" w:name="t_2_7_2833_a1_fm1"/>
      <w:bookmarkEnd w:id="32"/>
      <w:r>
        <w:rPr>
          <w:rFonts w:ascii="宋体" w:hAnsi="宋体" w:hint="eastAsia"/>
          <w:szCs w:val="21"/>
        </w:rPr>
        <w:t>兴银基金管理有限责任公司</w:t>
      </w:r>
    </w:p>
    <w:p w:rsidR="00A87420" w:rsidRDefault="00A87420" w:rsidP="00A8742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注册地址：</w:t>
      </w:r>
      <w:r w:rsidRPr="00660D8D">
        <w:rPr>
          <w:rFonts w:ascii="宋体" w:hAnsi="宋体" w:hint="eastAsia"/>
          <w:szCs w:val="21"/>
        </w:rPr>
        <w:t>福建省泉州市丰泽区滨海街102号厦门银行泉州分行大厦19楼1908</w:t>
      </w:r>
    </w:p>
    <w:p w:rsidR="00A87420" w:rsidRDefault="00A87420" w:rsidP="00A8742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办公地址：上海浦东新区滨江大道5129号陆家嘴滨江中心N1幢三层、五层</w:t>
      </w:r>
    </w:p>
    <w:p w:rsidR="00A87420" w:rsidRDefault="00A87420" w:rsidP="00A8742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法定代表人：易勇</w:t>
      </w:r>
    </w:p>
    <w:p w:rsidR="00A87420" w:rsidRDefault="00A87420" w:rsidP="00A8742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联络人：林娱庭</w:t>
      </w:r>
    </w:p>
    <w:p w:rsidR="00A87420" w:rsidRDefault="00A87420" w:rsidP="00A8742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联系电话：</w:t>
      </w:r>
      <w:r>
        <w:rPr>
          <w:rFonts w:ascii="宋体" w:hAnsi="宋体"/>
          <w:szCs w:val="21"/>
        </w:rPr>
        <w:t>021-20296260</w:t>
      </w:r>
    </w:p>
    <w:p w:rsidR="00A87420" w:rsidRDefault="00A87420" w:rsidP="00A8742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传真：</w:t>
      </w:r>
      <w:r>
        <w:rPr>
          <w:rFonts w:ascii="宋体" w:hAnsi="宋体"/>
          <w:szCs w:val="21"/>
        </w:rPr>
        <w:t>021-68630069</w:t>
      </w:r>
    </w:p>
    <w:p w:rsidR="00A87420" w:rsidRDefault="00A87420" w:rsidP="00A8742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公司网站：</w:t>
      </w:r>
      <w:r>
        <w:rPr>
          <w:rFonts w:ascii="宋体" w:hAnsi="宋体"/>
          <w:szCs w:val="21"/>
        </w:rPr>
        <w:t>www.hffunds.cn</w:t>
      </w:r>
    </w:p>
    <w:p w:rsidR="002C4356" w:rsidRDefault="00A87420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客服电话：</w:t>
      </w:r>
      <w:r>
        <w:rPr>
          <w:rFonts w:ascii="宋体" w:hAnsi="宋体"/>
          <w:szCs w:val="21"/>
        </w:rPr>
        <w:t>40000-96326</w:t>
      </w:r>
    </w:p>
    <w:p w:rsidR="002C4356" w:rsidRDefault="002C4356">
      <w:pPr>
        <w:spacing w:beforeLines="50" w:afterLines="50"/>
        <w:jc w:val="left"/>
        <w:rPr>
          <w:rStyle w:val="a4"/>
        </w:rPr>
      </w:pPr>
      <w:r>
        <w:rPr>
          <w:rFonts w:ascii="宋体" w:hAnsi="宋体"/>
          <w:b/>
          <w:sz w:val="24"/>
          <w:szCs w:val="20"/>
        </w:rPr>
        <w:t>7</w:t>
      </w:r>
      <w:r>
        <w:rPr>
          <w:rFonts w:ascii="宋体" w:hAnsi="宋体" w:hint="eastAsia"/>
          <w:b/>
          <w:sz w:val="24"/>
          <w:szCs w:val="20"/>
        </w:rPr>
        <w:t>.1.2 场外代销机构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bookmarkStart w:id="33" w:name="t_2_7_2834_a1_fm1"/>
      <w:bookmarkEnd w:id="33"/>
      <w:r w:rsidRPr="004D1B5F">
        <w:rPr>
          <w:rFonts w:ascii="宋体" w:hAnsi="宋体" w:hint="eastAsia"/>
          <w:szCs w:val="21"/>
        </w:rPr>
        <w:t>（1）平安银行股份有限公司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注册地址：深圳市罗湖区深南东路5047号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办公地址：广东省深圳市罗湖区深南东路5047号,中国广东省深圳市福田区益田路5023号平安金融中心B座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法定代表人：谢永林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公司网址：www.bank.pingan.com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客服电话：95511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（2）兴业银行股份有限公司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注册地址：福建省福州市台江区江滨中大道398号兴业银行大厦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办公地址：福建省福州市台江区江滨中大道398号兴业银行大厦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法定代表人：吕家进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公司网址：www.cib.com.cn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客服电话：95561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（3）宁波银行股份有限公司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注册地址：浙江省宁波市鄞州区宁东路345号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办公地址：浙江省宁波市鄞州区宁东路345号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法定代表人：陆华裕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公司网址：https://interbank.nbcb.com.cn/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客服电话：95574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（4）中信银行股份有限公司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注册地址：北京市朝阳区光华路10号院1号楼6-30层、32-42层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办公地址：北京市朝阳区光华路10号院1号楼6-30层、32-42层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法定代表人：方合英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公司网址：www.citicbank.com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客服电话：95558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（5）中国邮政储蓄银行股份有限公司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注册地址：北京市西城区金融大街3号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办公地址：北京市西城区金融大街3号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法定代表人：郑国雨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公司网址：www.psbcltd.cn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客服电话：95580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（6）上海天天基金销售有限公司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注册地址：上海市徐汇区龙田路 190 号 2 号楼二层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办公地址：上海市徐汇区龙田路 190 号 2 号楼二层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法定代表人：其实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公司网址：www.1234567.com.cn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客服电话：400-1818-188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（7）上海好买基金销售有限公司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注册地址：上海市虹口区东大名路501号6211单元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办公地址：上海市浦东新区张杨路500号华润时代广场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法定代表人：陶怡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公司网站：www.ehowbuy.com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客户服务电话：400-700-9665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（8）上海基煜基金销售有限公司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注册地址：上海市黄浦区广东路500号30层3001单元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办公地址：上海市浦东新区银城中路488号太平金融大厦1503室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法定代表人：王翔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公司网址：www.jiyufund.com.cn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客服电话：400-820-5369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（9）北京汇成基金销售有限公司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注册地址：北京市西城区宣武门外大街甲1号4层 401-2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办公地址：北京市西城区宣武门外大街甲1号环球财讯中心D座4层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法定代表人：王伟刚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公司网址：www.hcfunds.com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客服电话：400-055-5728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（10）上海万得基金销售有限公司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注册地址：中国（上海）自由贸易试验区浦明路 1500 号 8 层 M 座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办公地址：上海市浦明路 1500 号万得大厦 7 楼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法定代表人：简梦雯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公司网址：windmoney.com.cn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客服电话：400-799-1888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（11）珠海盈米基金销售有限公司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注册地址：珠海市横琴新区环岛东路 3000 号 2719 室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办公地址：珠海市横琴新区环岛东路 3000 号 2719 室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法定代表人：肖雯</w:t>
      </w:r>
    </w:p>
    <w:p w:rsidR="00A87420" w:rsidRPr="004D1B5F" w:rsidRDefault="00A87420" w:rsidP="00A87420">
      <w:pPr>
        <w:tabs>
          <w:tab w:val="left" w:pos="1260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公司网址：https://yingmi.com/</w:t>
      </w:r>
    </w:p>
    <w:p w:rsidR="004A0C84" w:rsidRDefault="00A87420" w:rsidP="006B1B8E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D1B5F">
        <w:rPr>
          <w:rFonts w:ascii="宋体" w:hAnsi="宋体" w:hint="eastAsia"/>
          <w:szCs w:val="21"/>
        </w:rPr>
        <w:t>客服电话：020-89629066</w:t>
      </w:r>
    </w:p>
    <w:p w:rsidR="002C4356" w:rsidRDefault="002C4356">
      <w:pPr>
        <w:numPr>
          <w:ilvl w:val="1"/>
          <w:numId w:val="1"/>
        </w:numPr>
        <w:spacing w:beforeLines="50" w:afterLines="50"/>
        <w:jc w:val="left"/>
        <w:rPr>
          <w:rFonts w:ascii="宋体" w:hAnsi="宋体" w:hint="eastAsia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场内销售机构</w:t>
      </w:r>
    </w:p>
    <w:p w:rsidR="002C4356" w:rsidRDefault="002C4356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bookmarkStart w:id="34" w:name="t_2_7_2835_a1_fm1"/>
      <w:bookmarkEnd w:id="34"/>
      <w:r>
        <w:rPr>
          <w:rFonts w:ascii="宋体" w:hAnsi="宋体" w:hint="eastAsia"/>
          <w:szCs w:val="21"/>
        </w:rPr>
        <w:t>无。</w:t>
      </w:r>
    </w:p>
    <w:p w:rsidR="002C4356" w:rsidRDefault="002C4356">
      <w:pPr>
        <w:pStyle w:val="2"/>
        <w:numPr>
          <w:ilvl w:val="0"/>
          <w:numId w:val="1"/>
        </w:numPr>
        <w:spacing w:beforeLines="50" w:afterLines="50" w:line="240" w:lineRule="auto"/>
        <w:rPr>
          <w:rFonts w:ascii="宋体" w:eastAsia="宋体" w:hAnsi="宋体" w:hint="eastAsia"/>
          <w:bCs/>
          <w:sz w:val="24"/>
          <w:szCs w:val="24"/>
        </w:rPr>
      </w:pPr>
      <w:bookmarkStart w:id="35" w:name="t_2_8_table"/>
      <w:bookmarkEnd w:id="35"/>
      <w:r>
        <w:rPr>
          <w:rFonts w:ascii="宋体" w:eastAsia="宋体" w:hAnsi="宋体" w:hint="eastAsia"/>
          <w:bCs/>
          <w:sz w:val="24"/>
          <w:szCs w:val="24"/>
        </w:rPr>
        <w:t>基金份额净值公告/基金收益公告的披露安排</w:t>
      </w:r>
    </w:p>
    <w:p w:rsidR="002C4356" w:rsidRDefault="002C4356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bookmarkStart w:id="36" w:name="t_2_8_2756_a1_fm1"/>
      <w:bookmarkEnd w:id="36"/>
      <w:r>
        <w:rPr>
          <w:rFonts w:ascii="宋体" w:hAnsi="宋体" w:hint="eastAsia"/>
          <w:szCs w:val="21"/>
        </w:rPr>
        <w:t>本公司将根据《兴银</w:t>
      </w:r>
      <w:r w:rsidR="00A87420">
        <w:rPr>
          <w:rFonts w:ascii="宋体" w:hAnsi="宋体" w:hint="eastAsia"/>
          <w:szCs w:val="21"/>
        </w:rPr>
        <w:t>中债优选投资级信用债指数</w:t>
      </w:r>
      <w:r>
        <w:rPr>
          <w:rFonts w:ascii="宋体" w:hAnsi="宋体" w:hint="eastAsia"/>
          <w:szCs w:val="21"/>
        </w:rPr>
        <w:t>证券投资基金基金合同》和《兴银</w:t>
      </w:r>
      <w:r w:rsidR="00A87420">
        <w:rPr>
          <w:rFonts w:ascii="宋体" w:hAnsi="宋体" w:hint="eastAsia"/>
          <w:szCs w:val="21"/>
        </w:rPr>
        <w:t>中债优选投资级信用债指数</w:t>
      </w:r>
      <w:r>
        <w:rPr>
          <w:rFonts w:ascii="宋体" w:hAnsi="宋体" w:hint="eastAsia"/>
          <w:szCs w:val="21"/>
        </w:rPr>
        <w:t>证券投资基金招募说明书》的有关规定，在开始办理基金份额申购</w:t>
      </w:r>
      <w:r w:rsidR="001726B1">
        <w:rPr>
          <w:rFonts w:ascii="宋体" w:hAnsi="宋体" w:hint="eastAsia"/>
          <w:szCs w:val="21"/>
        </w:rPr>
        <w:t>、赎回</w:t>
      </w:r>
      <w:r>
        <w:rPr>
          <w:rFonts w:ascii="宋体" w:hAnsi="宋体" w:hint="eastAsia"/>
          <w:szCs w:val="21"/>
        </w:rPr>
        <w:t>后，基金管理人应当在每个开放日的次日，通过规定网站、基金销售机构以及</w:t>
      </w:r>
      <w:r>
        <w:rPr>
          <w:rFonts w:ascii="宋体" w:hAnsi="宋体"/>
          <w:szCs w:val="21"/>
        </w:rPr>
        <w:t>营业网点</w:t>
      </w:r>
      <w:r>
        <w:rPr>
          <w:rFonts w:ascii="宋体" w:hAnsi="宋体" w:hint="eastAsia"/>
          <w:szCs w:val="21"/>
        </w:rPr>
        <w:t>披露开放日各类基金份额的基金份额净值和基金份额累计净值。</w:t>
      </w:r>
    </w:p>
    <w:p w:rsidR="002C4356" w:rsidRDefault="002C4356">
      <w:pPr>
        <w:pStyle w:val="2"/>
        <w:numPr>
          <w:ilvl w:val="0"/>
          <w:numId w:val="1"/>
        </w:numPr>
        <w:spacing w:beforeLines="50" w:afterLines="50" w:line="240" w:lineRule="auto"/>
        <w:rPr>
          <w:rFonts w:ascii="宋体" w:eastAsia="宋体" w:hAnsi="宋体" w:hint="eastAsia"/>
          <w:bCs/>
          <w:sz w:val="24"/>
          <w:szCs w:val="24"/>
        </w:rPr>
      </w:pPr>
      <w:bookmarkStart w:id="37" w:name="t_2_9_table"/>
      <w:bookmarkEnd w:id="37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2C4356" w:rsidRDefault="002C4356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38" w:name="t_2_9_2646_a1_fm1"/>
      <w:bookmarkEnd w:id="38"/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1）本公告仅对本基金开放日常</w:t>
      </w:r>
      <w:r w:rsidR="001726B1">
        <w:rPr>
          <w:rFonts w:ascii="宋体" w:hAnsi="宋体" w:hint="eastAsia"/>
          <w:szCs w:val="21"/>
        </w:rPr>
        <w:t>赎回</w:t>
      </w:r>
      <w:r>
        <w:rPr>
          <w:rFonts w:ascii="宋体" w:hAnsi="宋体"/>
          <w:szCs w:val="21"/>
        </w:rPr>
        <w:t>事项予以说明。投资者欲了解本基金的详细情况，请详细阅读刊登在本公司网站（www.hffunds.cn）</w:t>
      </w:r>
      <w:r>
        <w:rPr>
          <w:rFonts w:ascii="宋体" w:hAnsi="宋体" w:hint="eastAsia"/>
          <w:szCs w:val="21"/>
        </w:rPr>
        <w:t>上</w:t>
      </w:r>
      <w:r>
        <w:rPr>
          <w:rFonts w:ascii="宋体" w:hAnsi="宋体"/>
          <w:szCs w:val="21"/>
        </w:rPr>
        <w:t>的《兴银</w:t>
      </w:r>
      <w:r w:rsidR="00A87420">
        <w:rPr>
          <w:rFonts w:ascii="宋体" w:hAnsi="宋体"/>
          <w:szCs w:val="21"/>
        </w:rPr>
        <w:t>中债优选投资级信用债指数</w:t>
      </w:r>
      <w:r>
        <w:rPr>
          <w:rFonts w:ascii="宋体" w:hAnsi="宋体"/>
          <w:szCs w:val="21"/>
        </w:rPr>
        <w:t>证券投资基金招募说明书》</w:t>
      </w:r>
      <w:r>
        <w:rPr>
          <w:rFonts w:ascii="宋体" w:hAnsi="宋体" w:hint="eastAsia"/>
          <w:szCs w:val="21"/>
        </w:rPr>
        <w:t>等</w:t>
      </w:r>
      <w:r>
        <w:rPr>
          <w:rFonts w:ascii="宋体" w:hAnsi="宋体"/>
          <w:szCs w:val="21"/>
        </w:rPr>
        <w:t>法律文件。</w:t>
      </w:r>
    </w:p>
    <w:p w:rsidR="002C4356" w:rsidRDefault="002C4356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2）投资者如有任何问题，可拨打本公司客户服务电话（40000-96326）以及各销售代理机构客户服务电话。</w:t>
      </w:r>
    </w:p>
    <w:p w:rsidR="002C4356" w:rsidRDefault="002C4356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3）风险提示：本公司承诺以诚实信用、勤勉尽责的原则管理和运用基金资产，但不保证基金一定盈利，也不保证最低收益。投资者购买证券投资基金并不等于将资金作为</w:t>
      </w:r>
      <w:r>
        <w:rPr>
          <w:rFonts w:ascii="宋体" w:hAnsi="宋体" w:hint="eastAsia"/>
          <w:szCs w:val="21"/>
        </w:rPr>
        <w:t>存款存放在银行或存款类金融机构，基金管理人管理的其他基金的业绩不构成对本基金业绩表现的保证。本公司提醒投资人基金投资的“买者自负”原则，在做出投资决策后，基金运营状况与基金净值变化引致的投资风险，由投资人自行负担。投资者投资基金前应认真阅读《基金合同》《招募说明书》等信息披露文件，投资与自身风险承受能力相适应的基金。</w:t>
      </w:r>
    </w:p>
    <w:p w:rsidR="002C4356" w:rsidRDefault="002C4356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2C4356" w:rsidRDefault="002C4356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兴银基金管理有限责任公司</w:t>
      </w:r>
    </w:p>
    <w:p w:rsidR="002C4356" w:rsidRDefault="00A87420">
      <w:pPr>
        <w:spacing w:line="360" w:lineRule="auto"/>
        <w:jc w:val="right"/>
        <w:rPr>
          <w:rFonts w:ascii="宋体" w:hAnsi="宋体" w:hint="eastAsia"/>
          <w:szCs w:val="21"/>
        </w:rPr>
      </w:pPr>
      <w:r>
        <w:rPr>
          <w:rFonts w:ascii="宋体" w:hAnsi="宋体"/>
          <w:sz w:val="24"/>
          <w:szCs w:val="30"/>
        </w:rPr>
        <w:t>2025</w:t>
      </w:r>
      <w:r w:rsidR="001726B1">
        <w:rPr>
          <w:rFonts w:ascii="宋体" w:hAnsi="宋体"/>
          <w:sz w:val="24"/>
          <w:szCs w:val="30"/>
        </w:rPr>
        <w:t>年</w:t>
      </w:r>
      <w:r>
        <w:rPr>
          <w:rFonts w:ascii="宋体" w:hAnsi="宋体"/>
          <w:sz w:val="24"/>
          <w:szCs w:val="30"/>
        </w:rPr>
        <w:t>7</w:t>
      </w:r>
      <w:r w:rsidR="001726B1">
        <w:rPr>
          <w:rFonts w:ascii="宋体" w:hAnsi="宋体"/>
          <w:sz w:val="24"/>
          <w:szCs w:val="30"/>
        </w:rPr>
        <w:t>月</w:t>
      </w:r>
      <w:r>
        <w:rPr>
          <w:rFonts w:ascii="宋体" w:hAnsi="宋体"/>
          <w:sz w:val="24"/>
          <w:szCs w:val="30"/>
        </w:rPr>
        <w:t>19</w:t>
      </w:r>
      <w:r w:rsidR="002C4356">
        <w:rPr>
          <w:rFonts w:ascii="宋体" w:hAnsi="宋体"/>
          <w:sz w:val="24"/>
          <w:szCs w:val="30"/>
        </w:rPr>
        <w:t>日</w:t>
      </w:r>
    </w:p>
    <w:sectPr w:rsidR="002C4356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785" w:rsidRDefault="00796785" w:rsidP="002C4356">
      <w:r>
        <w:separator/>
      </w:r>
    </w:p>
  </w:endnote>
  <w:endnote w:type="continuationSeparator" w:id="0">
    <w:p w:rsidR="00796785" w:rsidRDefault="00796785" w:rsidP="002C4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56" w:rsidRDefault="002C4356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ED1CC0" w:rsidRPr="00ED1CC0">
        <w:rPr>
          <w:noProof/>
          <w:lang w:val="en-US" w:eastAsia="zh-CN"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ED1CC0" w:rsidRPr="00ED1CC0">
        <w:rPr>
          <w:noProof/>
          <w:lang w:val="en-US" w:eastAsia="zh-CN"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785" w:rsidRDefault="00796785" w:rsidP="002C4356">
      <w:r>
        <w:separator/>
      </w:r>
    </w:p>
  </w:footnote>
  <w:footnote w:type="continuationSeparator" w:id="0">
    <w:p w:rsidR="00796785" w:rsidRDefault="00796785" w:rsidP="002C4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56" w:rsidRDefault="002C4356">
    <w:pPr>
      <w:pStyle w:val="aa"/>
      <w:jc w:val="right"/>
    </w:pPr>
    <w:r>
      <w:rPr>
        <w:rFonts w:hint="eastAsia"/>
      </w:rPr>
      <w:t>兴银</w:t>
    </w:r>
    <w:r w:rsidR="00A87420">
      <w:rPr>
        <w:rFonts w:hint="eastAsia"/>
      </w:rPr>
      <w:t>中债优选投资级信用债指数</w:t>
    </w:r>
    <w:r>
      <w:rPr>
        <w:rFonts w:hint="eastAsia"/>
      </w:rPr>
      <w:t>证券投资基金开放日常</w:t>
    </w:r>
    <w:r w:rsidR="00B83454">
      <w:rPr>
        <w:rFonts w:hint="eastAsia"/>
        <w:lang w:eastAsia="zh-CN"/>
      </w:rPr>
      <w:t>赎回</w:t>
    </w:r>
    <w:r>
      <w:rPr>
        <w:rFonts w:hint="eastAsia"/>
      </w:rPr>
      <w:t>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B1FFF"/>
    <w:multiLevelType w:val="multilevel"/>
    <w:tmpl w:val="355B1FF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7AEB564C"/>
    <w:multiLevelType w:val="singleLevel"/>
    <w:tmpl w:val="7AEB564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A10"/>
    <w:rsid w:val="0000637F"/>
    <w:rsid w:val="00007238"/>
    <w:rsid w:val="00024E6A"/>
    <w:rsid w:val="00054B55"/>
    <w:rsid w:val="00073B80"/>
    <w:rsid w:val="000974B0"/>
    <w:rsid w:val="000A29C6"/>
    <w:rsid w:val="000B5AEB"/>
    <w:rsid w:val="000B77C4"/>
    <w:rsid w:val="000D64D3"/>
    <w:rsid w:val="000E028E"/>
    <w:rsid w:val="000E2DED"/>
    <w:rsid w:val="000E72AA"/>
    <w:rsid w:val="000E7B4A"/>
    <w:rsid w:val="000F3227"/>
    <w:rsid w:val="000F4D37"/>
    <w:rsid w:val="00102C6F"/>
    <w:rsid w:val="00171FF9"/>
    <w:rsid w:val="001726B1"/>
    <w:rsid w:val="00174AC6"/>
    <w:rsid w:val="00183A01"/>
    <w:rsid w:val="001901B1"/>
    <w:rsid w:val="001906ED"/>
    <w:rsid w:val="001B2B27"/>
    <w:rsid w:val="001C36B9"/>
    <w:rsid w:val="001C5C7D"/>
    <w:rsid w:val="001D0B32"/>
    <w:rsid w:val="001D1017"/>
    <w:rsid w:val="001F180D"/>
    <w:rsid w:val="001F7584"/>
    <w:rsid w:val="002116D0"/>
    <w:rsid w:val="00230396"/>
    <w:rsid w:val="00243D8F"/>
    <w:rsid w:val="0029025E"/>
    <w:rsid w:val="002B3033"/>
    <w:rsid w:val="002B6D0F"/>
    <w:rsid w:val="002C4356"/>
    <w:rsid w:val="002C5B6B"/>
    <w:rsid w:val="002E058C"/>
    <w:rsid w:val="002E14AA"/>
    <w:rsid w:val="002E30AB"/>
    <w:rsid w:val="00300E9B"/>
    <w:rsid w:val="00315379"/>
    <w:rsid w:val="003240D2"/>
    <w:rsid w:val="0033097F"/>
    <w:rsid w:val="003422A1"/>
    <w:rsid w:val="003440C2"/>
    <w:rsid w:val="0034703B"/>
    <w:rsid w:val="00350F2E"/>
    <w:rsid w:val="00383CBA"/>
    <w:rsid w:val="003942A2"/>
    <w:rsid w:val="003A35EE"/>
    <w:rsid w:val="003A6823"/>
    <w:rsid w:val="003A6A59"/>
    <w:rsid w:val="003B65A7"/>
    <w:rsid w:val="003D7D9B"/>
    <w:rsid w:val="003E516B"/>
    <w:rsid w:val="003F1173"/>
    <w:rsid w:val="00406ED3"/>
    <w:rsid w:val="00413893"/>
    <w:rsid w:val="00414689"/>
    <w:rsid w:val="00444598"/>
    <w:rsid w:val="00446629"/>
    <w:rsid w:val="00454A6A"/>
    <w:rsid w:val="004756BF"/>
    <w:rsid w:val="0048302E"/>
    <w:rsid w:val="00494170"/>
    <w:rsid w:val="004A0C84"/>
    <w:rsid w:val="004B7AAB"/>
    <w:rsid w:val="004E0948"/>
    <w:rsid w:val="004E5E13"/>
    <w:rsid w:val="004F3827"/>
    <w:rsid w:val="004F5D3D"/>
    <w:rsid w:val="00501813"/>
    <w:rsid w:val="0050405D"/>
    <w:rsid w:val="00523335"/>
    <w:rsid w:val="00530787"/>
    <w:rsid w:val="00551C31"/>
    <w:rsid w:val="00555899"/>
    <w:rsid w:val="005702CB"/>
    <w:rsid w:val="005719A6"/>
    <w:rsid w:val="0059451E"/>
    <w:rsid w:val="005C06E3"/>
    <w:rsid w:val="005F3A2B"/>
    <w:rsid w:val="00616DEF"/>
    <w:rsid w:val="006172CC"/>
    <w:rsid w:val="006262E4"/>
    <w:rsid w:val="006315E8"/>
    <w:rsid w:val="006343BD"/>
    <w:rsid w:val="00636BD0"/>
    <w:rsid w:val="00646B14"/>
    <w:rsid w:val="00670406"/>
    <w:rsid w:val="00682A5C"/>
    <w:rsid w:val="006B1B8E"/>
    <w:rsid w:val="006C2FE0"/>
    <w:rsid w:val="006C7484"/>
    <w:rsid w:val="006E0017"/>
    <w:rsid w:val="006E7E4F"/>
    <w:rsid w:val="007115C0"/>
    <w:rsid w:val="00716A1B"/>
    <w:rsid w:val="00716E05"/>
    <w:rsid w:val="00720F8D"/>
    <w:rsid w:val="0072609C"/>
    <w:rsid w:val="00726DEE"/>
    <w:rsid w:val="00730B6D"/>
    <w:rsid w:val="00755DA3"/>
    <w:rsid w:val="00761A17"/>
    <w:rsid w:val="00765A06"/>
    <w:rsid w:val="00765AE6"/>
    <w:rsid w:val="007670ED"/>
    <w:rsid w:val="00775CAB"/>
    <w:rsid w:val="00787336"/>
    <w:rsid w:val="00796785"/>
    <w:rsid w:val="007B7C76"/>
    <w:rsid w:val="007C6185"/>
    <w:rsid w:val="007D4BAC"/>
    <w:rsid w:val="007E2426"/>
    <w:rsid w:val="007E5836"/>
    <w:rsid w:val="00817AD7"/>
    <w:rsid w:val="00826F79"/>
    <w:rsid w:val="008333D8"/>
    <w:rsid w:val="008347D6"/>
    <w:rsid w:val="008365F3"/>
    <w:rsid w:val="0083709B"/>
    <w:rsid w:val="00851FB7"/>
    <w:rsid w:val="00853186"/>
    <w:rsid w:val="00855CE8"/>
    <w:rsid w:val="00871319"/>
    <w:rsid w:val="0087770A"/>
    <w:rsid w:val="008A05B7"/>
    <w:rsid w:val="008A1435"/>
    <w:rsid w:val="008C10C0"/>
    <w:rsid w:val="008D03F0"/>
    <w:rsid w:val="008D3095"/>
    <w:rsid w:val="00933CBD"/>
    <w:rsid w:val="00940087"/>
    <w:rsid w:val="00940DAE"/>
    <w:rsid w:val="00972A8C"/>
    <w:rsid w:val="00986300"/>
    <w:rsid w:val="00987BA8"/>
    <w:rsid w:val="00990A0C"/>
    <w:rsid w:val="009B2AFB"/>
    <w:rsid w:val="009B640B"/>
    <w:rsid w:val="009B7483"/>
    <w:rsid w:val="009D0AFF"/>
    <w:rsid w:val="009D1F1F"/>
    <w:rsid w:val="009E3BE7"/>
    <w:rsid w:val="009E6641"/>
    <w:rsid w:val="009E7AB6"/>
    <w:rsid w:val="009F1798"/>
    <w:rsid w:val="009F29BF"/>
    <w:rsid w:val="009F7EE0"/>
    <w:rsid w:val="00A038BD"/>
    <w:rsid w:val="00A35AFB"/>
    <w:rsid w:val="00A64033"/>
    <w:rsid w:val="00A65807"/>
    <w:rsid w:val="00A678D3"/>
    <w:rsid w:val="00A80FE4"/>
    <w:rsid w:val="00A82271"/>
    <w:rsid w:val="00A87420"/>
    <w:rsid w:val="00A90A28"/>
    <w:rsid w:val="00AA09D7"/>
    <w:rsid w:val="00AD0752"/>
    <w:rsid w:val="00AE212C"/>
    <w:rsid w:val="00AE5F6B"/>
    <w:rsid w:val="00AF2BD7"/>
    <w:rsid w:val="00B35AFC"/>
    <w:rsid w:val="00B420FD"/>
    <w:rsid w:val="00B67B49"/>
    <w:rsid w:val="00B734AD"/>
    <w:rsid w:val="00B74308"/>
    <w:rsid w:val="00B8056B"/>
    <w:rsid w:val="00B80C72"/>
    <w:rsid w:val="00B83454"/>
    <w:rsid w:val="00B87D64"/>
    <w:rsid w:val="00B91C34"/>
    <w:rsid w:val="00B951C0"/>
    <w:rsid w:val="00BA4EA2"/>
    <w:rsid w:val="00BB15D8"/>
    <w:rsid w:val="00BC6635"/>
    <w:rsid w:val="00BC7546"/>
    <w:rsid w:val="00BD2D0B"/>
    <w:rsid w:val="00BD2F33"/>
    <w:rsid w:val="00BE518F"/>
    <w:rsid w:val="00BF06C6"/>
    <w:rsid w:val="00BF125E"/>
    <w:rsid w:val="00BF74B6"/>
    <w:rsid w:val="00BF76C1"/>
    <w:rsid w:val="00C268D6"/>
    <w:rsid w:val="00C378C4"/>
    <w:rsid w:val="00C472A7"/>
    <w:rsid w:val="00C53B1A"/>
    <w:rsid w:val="00C55873"/>
    <w:rsid w:val="00CA03F9"/>
    <w:rsid w:val="00CE2AC6"/>
    <w:rsid w:val="00D13152"/>
    <w:rsid w:val="00D263F3"/>
    <w:rsid w:val="00D34666"/>
    <w:rsid w:val="00D35B94"/>
    <w:rsid w:val="00D56531"/>
    <w:rsid w:val="00D67A9D"/>
    <w:rsid w:val="00D73882"/>
    <w:rsid w:val="00D84B5C"/>
    <w:rsid w:val="00D85ACB"/>
    <w:rsid w:val="00D978FE"/>
    <w:rsid w:val="00DD3673"/>
    <w:rsid w:val="00DD7041"/>
    <w:rsid w:val="00DF51ED"/>
    <w:rsid w:val="00DF79E2"/>
    <w:rsid w:val="00E11C1F"/>
    <w:rsid w:val="00E20B5C"/>
    <w:rsid w:val="00E253E0"/>
    <w:rsid w:val="00E54764"/>
    <w:rsid w:val="00E800AC"/>
    <w:rsid w:val="00E8405B"/>
    <w:rsid w:val="00E8684E"/>
    <w:rsid w:val="00E93025"/>
    <w:rsid w:val="00EA3CF7"/>
    <w:rsid w:val="00EA547C"/>
    <w:rsid w:val="00EA5F06"/>
    <w:rsid w:val="00EB7F4C"/>
    <w:rsid w:val="00EC72B8"/>
    <w:rsid w:val="00ED1CC0"/>
    <w:rsid w:val="00ED2AFF"/>
    <w:rsid w:val="00ED63EB"/>
    <w:rsid w:val="00EF4E3F"/>
    <w:rsid w:val="00F00A7A"/>
    <w:rsid w:val="00F10FD4"/>
    <w:rsid w:val="00F13D21"/>
    <w:rsid w:val="00F21169"/>
    <w:rsid w:val="00F32B51"/>
    <w:rsid w:val="00F63D2C"/>
    <w:rsid w:val="00F845D1"/>
    <w:rsid w:val="00F861B1"/>
    <w:rsid w:val="00F93346"/>
    <w:rsid w:val="00F94C3A"/>
    <w:rsid w:val="00FA76C6"/>
    <w:rsid w:val="00FC3465"/>
    <w:rsid w:val="058C1C12"/>
    <w:rsid w:val="07CA06FC"/>
    <w:rsid w:val="0DB859E5"/>
    <w:rsid w:val="0EAF4A78"/>
    <w:rsid w:val="10511C34"/>
    <w:rsid w:val="10F94017"/>
    <w:rsid w:val="21EB431D"/>
    <w:rsid w:val="29AA5C94"/>
    <w:rsid w:val="2F083808"/>
    <w:rsid w:val="2F33106A"/>
    <w:rsid w:val="32285F6F"/>
    <w:rsid w:val="32A7158A"/>
    <w:rsid w:val="333F0433"/>
    <w:rsid w:val="39D709A6"/>
    <w:rsid w:val="3E4B5FB6"/>
    <w:rsid w:val="4A7E44BE"/>
    <w:rsid w:val="51E23F34"/>
    <w:rsid w:val="51E26721"/>
    <w:rsid w:val="54D26C1C"/>
    <w:rsid w:val="568B6949"/>
    <w:rsid w:val="57B7021D"/>
    <w:rsid w:val="58A812FF"/>
    <w:rsid w:val="58AF20B4"/>
    <w:rsid w:val="59A246D5"/>
    <w:rsid w:val="59ED2542"/>
    <w:rsid w:val="5A022A60"/>
    <w:rsid w:val="64CC2FF0"/>
    <w:rsid w:val="69A62455"/>
    <w:rsid w:val="6BE915E4"/>
    <w:rsid w:val="6D885538"/>
    <w:rsid w:val="7281070F"/>
    <w:rsid w:val="73B034F9"/>
    <w:rsid w:val="769C31E0"/>
    <w:rsid w:val="7A6A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annotation reference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脚注文本 Char"/>
    <w:link w:val="a3"/>
    <w:rPr>
      <w:rFonts w:ascii="Times New Roman" w:hAnsi="Times New Roman"/>
      <w:kern w:val="2"/>
      <w:sz w:val="18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character" w:styleId="a4">
    <w:name w:val="annotation reference"/>
    <w:uiPriority w:val="99"/>
    <w:unhideWhenUsed/>
    <w:rPr>
      <w:sz w:val="21"/>
      <w:szCs w:val="21"/>
    </w:rPr>
  </w:style>
  <w:style w:type="character" w:customStyle="1" w:styleId="Char0">
    <w:name w:val="批注主题 Char"/>
    <w:link w:val="a5"/>
    <w:uiPriority w:val="99"/>
    <w:semiHidden/>
    <w:rPr>
      <w:b/>
      <w:bCs/>
      <w:kern w:val="2"/>
      <w:sz w:val="21"/>
      <w:szCs w:val="22"/>
    </w:rPr>
  </w:style>
  <w:style w:type="character" w:customStyle="1" w:styleId="Char1">
    <w:name w:val="页脚 Char"/>
    <w:link w:val="a6"/>
    <w:rPr>
      <w:kern w:val="2"/>
      <w:sz w:val="18"/>
      <w:szCs w:val="18"/>
    </w:rPr>
  </w:style>
  <w:style w:type="character" w:customStyle="1" w:styleId="Char2">
    <w:name w:val="批注框文本 Char"/>
    <w:link w:val="a7"/>
    <w:uiPriority w:val="99"/>
    <w:semiHidden/>
    <w:rPr>
      <w:kern w:val="2"/>
      <w:sz w:val="18"/>
      <w:szCs w:val="18"/>
    </w:rPr>
  </w:style>
  <w:style w:type="character" w:styleId="a8">
    <w:name w:val="Hyperlink"/>
    <w:uiPriority w:val="99"/>
    <w:unhideWhenUsed/>
    <w:rPr>
      <w:color w:val="0563C1"/>
      <w:u w:val="single"/>
    </w:rPr>
  </w:style>
  <w:style w:type="character" w:styleId="a9">
    <w:name w:val="footnote reference"/>
    <w:rPr>
      <w:vertAlign w:val="superscript"/>
    </w:rPr>
  </w:style>
  <w:style w:type="character" w:customStyle="1" w:styleId="Char3">
    <w:name w:val="页眉 Char"/>
    <w:link w:val="aa"/>
    <w:rPr>
      <w:kern w:val="2"/>
      <w:sz w:val="18"/>
      <w:szCs w:val="18"/>
    </w:rPr>
  </w:style>
  <w:style w:type="character" w:customStyle="1" w:styleId="Char4">
    <w:name w:val="批注文字 Char"/>
    <w:link w:val="ab"/>
    <w:uiPriority w:val="99"/>
    <w:semiHidden/>
    <w:rPr>
      <w:kern w:val="2"/>
      <w:sz w:val="21"/>
      <w:szCs w:val="22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3">
    <w:name w:val="footnote text"/>
    <w:basedOn w:val="a"/>
    <w:link w:val="Char"/>
    <w:pPr>
      <w:snapToGrid w:val="0"/>
      <w:jc w:val="left"/>
    </w:pPr>
    <w:rPr>
      <w:sz w:val="18"/>
      <w:szCs w:val="20"/>
      <w:lang/>
    </w:rPr>
  </w:style>
  <w:style w:type="paragraph" w:styleId="aa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Balloon Text"/>
    <w:basedOn w:val="a"/>
    <w:link w:val="Char2"/>
    <w:uiPriority w:val="99"/>
    <w:unhideWhenUsed/>
    <w:rPr>
      <w:sz w:val="18"/>
      <w:szCs w:val="18"/>
      <w:lang/>
    </w:rPr>
  </w:style>
  <w:style w:type="paragraph" w:styleId="ac">
    <w:name w:val="Revision"/>
    <w:uiPriority w:val="99"/>
    <w:semiHidden/>
    <w:rPr>
      <w:kern w:val="2"/>
      <w:sz w:val="21"/>
      <w:szCs w:val="22"/>
    </w:rPr>
  </w:style>
  <w:style w:type="paragraph" w:styleId="ad">
    <w:name w:val="Document Map"/>
    <w:basedOn w:val="a"/>
    <w:pPr>
      <w:shd w:val="clear" w:color="auto" w:fill="00008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styleId="ab">
    <w:name w:val="annotation text"/>
    <w:basedOn w:val="a"/>
    <w:link w:val="Char4"/>
    <w:uiPriority w:val="99"/>
    <w:unhideWhenUsed/>
    <w:pPr>
      <w:jc w:val="left"/>
    </w:pPr>
    <w:rPr>
      <w:lang/>
    </w:rPr>
  </w:style>
  <w:style w:type="paragraph" w:customStyle="1" w:styleId="Char5">
    <w:name w:val=" Char"/>
    <w:basedOn w:val="a"/>
    <w:rPr>
      <w:szCs w:val="24"/>
    </w:rPr>
  </w:style>
  <w:style w:type="paragraph" w:styleId="a5">
    <w:name w:val="annotation subject"/>
    <w:basedOn w:val="ab"/>
    <w:next w:val="ab"/>
    <w:link w:val="Char0"/>
    <w:uiPriority w:val="99"/>
    <w:unhideWhenUsed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2862</Characters>
  <Application>Microsoft Office Word</Application>
  <DocSecurity>4</DocSecurity>
  <PresentationFormat/>
  <Lines>23</Lines>
  <Paragraphs>6</Paragraphs>
  <Slides>0</Slides>
  <Notes>0</Notes>
  <HiddenSlides>0</HiddenSlides>
  <MMClips>0</MMClips>
  <ScaleCrop>false</ScaleCrop>
  <Company>HFJJ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dcterms:created xsi:type="dcterms:W3CDTF">2025-07-18T16:01:00Z</dcterms:created>
  <dcterms:modified xsi:type="dcterms:W3CDTF">2025-07-18T16:01:00Z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commondata">
    <vt:lpwstr>eyJoZGlkIjoiM2NjMWMzYjIxZjQ3MWZlNjFjNGQxODFiM2VlYmRjMTcifQ==</vt:lpwstr>
  </property>
  <property fmtid="{D5CDD505-2E9C-101B-9397-08002B2CF9AE}" pid="4" name="ICV">
    <vt:lpwstr>B60DA610BAFB4344AC743D207E97F5C0</vt:lpwstr>
  </property>
</Properties>
</file>