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EA" w:rsidRDefault="00FA4893" w:rsidP="00FA4893">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Pr>
          <w:rFonts w:ascii="仿宋" w:eastAsia="仿宋" w:hAnsi="仿宋" w:hint="eastAsia"/>
          <w:b/>
          <w:color w:val="000000" w:themeColor="text1"/>
          <w:sz w:val="32"/>
          <w:szCs w:val="32"/>
        </w:rPr>
        <w:t>公司旗下</w:t>
      </w:r>
      <w:r>
        <w:rPr>
          <w:rFonts w:ascii="仿宋" w:eastAsia="仿宋" w:hAnsi="仿宋"/>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年第</w:t>
      </w:r>
      <w:r>
        <w:rPr>
          <w:rFonts w:ascii="仿宋" w:eastAsia="仿宋" w:hAnsi="仿宋" w:hint="eastAsia"/>
          <w:b/>
          <w:color w:val="000000" w:themeColor="text1"/>
          <w:sz w:val="32"/>
          <w:szCs w:val="32"/>
        </w:rPr>
        <w:t>2</w:t>
      </w:r>
      <w:r>
        <w:rPr>
          <w:rFonts w:ascii="仿宋" w:eastAsia="仿宋" w:hAnsi="仿宋" w:hint="eastAsia"/>
          <w:b/>
          <w:color w:val="000000" w:themeColor="text1"/>
          <w:sz w:val="32"/>
          <w:szCs w:val="32"/>
        </w:rPr>
        <w:t>季度</w:t>
      </w:r>
      <w:r>
        <w:rPr>
          <w:rFonts w:ascii="仿宋" w:eastAsia="仿宋" w:hAnsi="仿宋" w:hint="eastAsia"/>
          <w:b/>
          <w:color w:val="000000" w:themeColor="text1"/>
          <w:sz w:val="32"/>
          <w:szCs w:val="32"/>
        </w:rPr>
        <w:t>报告提示性公告</w:t>
      </w:r>
    </w:p>
    <w:p w:rsidR="005317EA" w:rsidRDefault="005317EA" w:rsidP="00FA4893">
      <w:pPr>
        <w:spacing w:line="540" w:lineRule="exact"/>
        <w:ind w:firstLineChars="50" w:firstLine="160"/>
        <w:jc w:val="center"/>
        <w:rPr>
          <w:rFonts w:ascii="仿宋" w:eastAsia="仿宋" w:hAnsi="仿宋"/>
          <w:b/>
          <w:color w:val="000000" w:themeColor="text1"/>
          <w:sz w:val="32"/>
          <w:szCs w:val="32"/>
        </w:rPr>
      </w:pP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本公司董事会及董事保证旗下</w:t>
      </w:r>
      <w:r>
        <w:rPr>
          <w:rFonts w:ascii="仿宋" w:eastAsia="仿宋" w:hAnsi="仿宋"/>
          <w:color w:val="000000" w:themeColor="text1"/>
          <w:sz w:val="32"/>
          <w:szCs w:val="32"/>
        </w:rPr>
        <w:t>证券投资</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季度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旗下：</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鹏华弘泰灵活配置混合型证券投资基金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鹏华普天收益证券投资基金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鹏华普天债券证券投资基金</w:t>
      </w:r>
    </w:p>
    <w:p w:rsidR="005317EA" w:rsidRDefault="00FA4893">
      <w:pPr>
        <w:spacing w:line="540" w:lineRule="exact"/>
        <w:ind w:firstLineChars="200" w:firstLine="640"/>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鹏华中国</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开放式证券投资基金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鹏华货币市场证券投资基金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鹏华价值优势混合型证券投资基金（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鹏华动力增长混合型证券投资基金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鹏华优质治理混合型证券投资基金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鹏华丰收债券型证券投资基金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鹏华盛世创新混合型证券投资基金（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交易型开放式指数证券投资基金联接基金（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鹏华信用增利债券型证券投资基金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鹏华全球中短债债券型证券投资基金（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鹏华丰润债券型证券投资基金（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鹏华消费优选混合型证券投资基金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鹏华丰盛稳固收益债券型证券投资基金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鹏华新兴产业混合型证券投资基金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鹏华美国房地产证券投资基金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鹏华丰泽债券型证券投</w:t>
      </w:r>
      <w:r>
        <w:rPr>
          <w:rFonts w:ascii="仿宋" w:eastAsia="仿宋" w:hAnsi="仿宋" w:hint="eastAsia"/>
          <w:color w:val="000000" w:themeColor="text1"/>
          <w:sz w:val="32"/>
          <w:szCs w:val="32"/>
        </w:rPr>
        <w:t>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鹏华价值精选股票型证券投资基金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鹏华宏观灵活配置混合型证券投资基金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鹏华纯债债券型证券投资基金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w:t>
      </w:r>
      <w:r>
        <w:rPr>
          <w:rFonts w:ascii="仿宋" w:eastAsia="仿宋" w:hAnsi="仿宋" w:hint="eastAsia"/>
          <w:color w:val="000000" w:themeColor="text1"/>
          <w:sz w:val="32"/>
          <w:szCs w:val="32"/>
        </w:rPr>
        <w:t>股资源产业指数型证券投资基金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鹏华丰和债券型证券投资基金（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鹏华双债增利债券型证券投资基金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鹏华丰利债券型证券投资基金（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鹏华永诚一年定期开放债券型证券投资基金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鹏华双债加利债券型证券投资基金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鹏华量化先锋混合型证券投资基金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鹏华丰实定期开放债券型证券投资基金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鹏华双债保利债券型证券投资基金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鹏华丰泰定期开放债券型证券投资基金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鹏华全球高收益债债券型证券投资基金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鹏华丰融定期开放债券型证券投资基金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鹏华消费领先灵活配置混合型证券投资基金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鹏华品牌传承灵活配置混合型证券投资基金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鹏华增值宝货币市场基金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鹏华环保产业股票型证券投资基金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鹏华中证信息技术指数型证券投资基金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鹏华策略优选灵活配置混合型证券投资基金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地产指数型证券投资基金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鹏华医疗保健股票型证券投资基金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鹏华先进制造股票型证券投资基金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鹏华养老产业股票型证券投资基金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鹏华安盈宝货币市场基金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鹏华可转债债券型证券投资基金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鹏华弘盛灵活配置混合型证券投资基金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鹏华弘利灵活配置混合型证券投资基金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鹏华弘泽灵活配置混合型证券投资基金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鹏华弘润灵活配置混合型证券投资基金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鹏华改革红利股票型证券投资基金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鹏华中证全指证券公司指数型证券投资基金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鹏华中证一带一路主题指数型证券投资基金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鹏华外延成长灵活配置混合型证券投资基金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鹏华弘和灵活配置混合型证券投资基金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鹏华弘华灵活配置混合型证券投资基金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鹏华弘实灵活配置混合型证券投资基金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鹏华弘信灵活配置混合型证券投资基金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鹏华中证高铁产业指数型证券投资基金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鹏华弘益灵活配置混合型证券投资基金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鹏华医药科技股票型证券投资基金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鹏华中证环保产业指数型证券投资基金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鹏华中证移动互联网指数型证券投资基金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鹏华弘鑫灵活配置混合型证券投资基金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鹏华前海万科</w:t>
      </w:r>
      <w:r>
        <w:rPr>
          <w:rFonts w:ascii="仿宋" w:eastAsia="仿宋" w:hAnsi="仿宋" w:hint="eastAsia"/>
          <w:color w:val="000000" w:themeColor="text1"/>
          <w:sz w:val="32"/>
          <w:szCs w:val="32"/>
        </w:rPr>
        <w:t>REITs</w:t>
      </w:r>
      <w:r>
        <w:rPr>
          <w:rFonts w:ascii="仿宋" w:eastAsia="仿宋" w:hAnsi="仿宋" w:hint="eastAsia"/>
          <w:color w:val="000000" w:themeColor="text1"/>
          <w:sz w:val="32"/>
          <w:szCs w:val="32"/>
        </w:rPr>
        <w:t>封闭式混合型发起式证券</w:t>
      </w:r>
      <w:r>
        <w:rPr>
          <w:rFonts w:ascii="仿宋" w:eastAsia="仿宋" w:hAnsi="仿宋" w:hint="eastAsia"/>
          <w:color w:val="000000" w:themeColor="text1"/>
          <w:sz w:val="32"/>
          <w:szCs w:val="32"/>
        </w:rPr>
        <w:t>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鹏华中证医药卫生指数证券投资基金（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鹏华弘安灵活配置混合型证券投资基金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鹏华丰华债券型证券投资基金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鹏华健康环保灵活配置混合型证券投资基金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鹏华文化传媒娱乐股票型证券投资基金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鹏华添利交易型货币市场基金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鹏华丰尚定期开放债券型证券投资基金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鹏华永达中短债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鹏华金城灵活配置混合型证券投资基金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鹏华丰茂债券型证券投资基金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鹏华弘达灵活配置混合型证券投资基金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鹏华弘嘉灵活配置混合型证券投资基金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鹏华丰饶定期开放债券型证券投资基金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鹏华增瑞灵活配置混合型证券投资基金（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鹏华丰恒债券型证券投资基金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鹏华弘惠灵活配置混合型证券投资基金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鹏华弘康灵活配置混合型证券投资基金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鹏华弘尚灵活配置混合型证券投资基金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鹏华丰禄债券型证券投资基金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鹏华港股通中证香港银行投资指数证券投资基金（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鹏华丰盈债券型证券投资基金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鹏华沪深港新兴成长灵活配置混合型证券投资基金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鹏华丰惠债券型证券投资基金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鹏华永盛一年定期开放债券型证券投资基金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鹏华安益增强混</w:t>
      </w:r>
      <w:r>
        <w:rPr>
          <w:rFonts w:ascii="仿宋" w:eastAsia="仿宋" w:hAnsi="仿宋" w:hint="eastAsia"/>
          <w:color w:val="000000" w:themeColor="text1"/>
          <w:sz w:val="32"/>
          <w:szCs w:val="32"/>
        </w:rPr>
        <w:t>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鹏华丰享债券型证券投资基金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鹏华丰玉债券型证券投资基金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鹏华永安</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鹏华丰康债券型证券投资基金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鹏华沪深港互联网股票型证券投资基金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鹏华丰瑞债券型证券投资基金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鹏华聚财通货币市场基金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鹏华丰源债券型证券投资基金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鹏华盈余宝货币市场基金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鹏华中证空天一体军工指数证券投资基金（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鹏华金元宝货币市场基金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鹏华兴鑫宝货币市场基金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鹏华策略回报灵活配置混合型证券投资基金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鹏华研究精选灵活配置混合型证券投资基金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鹏华香港美国互联网股票型证券投资基金（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鹏华优势企业股票型证券投资基金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鹏华永泽</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鹏华尊惠</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鹏华产业精选灵活配置混合型证券投资基金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鹏华尊悦</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鹏华睿投灵活配置混合型证券投资基金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鹏华创新驱动混合型证券投资基金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鹏华研究驱动混合型证券投资基金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鹏华中短债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2035</w:t>
      </w:r>
      <w:r>
        <w:rPr>
          <w:rFonts w:ascii="仿宋" w:eastAsia="仿宋" w:hAnsi="仿宋" w:hint="eastAsia"/>
          <w:color w:val="000000" w:themeColor="text1"/>
          <w:sz w:val="32"/>
          <w:szCs w:val="32"/>
        </w:rPr>
        <w:t>三年持有期混合型基金中基金（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w:t>
      </w:r>
      <w:r>
        <w:rPr>
          <w:rFonts w:ascii="仿宋" w:eastAsia="仿宋" w:hAnsi="仿宋" w:hint="eastAsia"/>
          <w:color w:val="000000" w:themeColor="text1"/>
          <w:sz w:val="32"/>
          <w:szCs w:val="32"/>
        </w:rPr>
        <w:t>华优选回报灵活配置混合型证券投资基金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鹏华永融一年定期开放债券型证券投资基金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鹏华永润一年定期开放债券型证券投资基金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鹏华核心优势混合型证券投资基金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2045</w:t>
      </w:r>
      <w:r>
        <w:rPr>
          <w:rFonts w:ascii="仿宋" w:eastAsia="仿宋" w:hAnsi="仿宋" w:hint="eastAsia"/>
          <w:color w:val="000000" w:themeColor="text1"/>
          <w:sz w:val="32"/>
          <w:szCs w:val="32"/>
        </w:rPr>
        <w:t>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鹏华研究智选混合型证券投资基金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鹏华创新动力灵活配置混合型证券投资基金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鹏华尊晟</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鹏华精选回报三年定期开放混合型证券投资基金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鹏华丰登债券型证券投资基金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年期地方政府债交易型开放式指数证券投资基金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鹏华浮动净值型发起式货币市场基金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鹏华尊信</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鹏华锦利两年定期开放债券型证券投资基金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鹏华丰鑫债券型证券投资基金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鹏华丰庆债券型证券投资基金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鹏华稳利短债债券型证券投资基金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鹏华金享混合型证券投资基金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鹏华价值驱动混合型证券投资基金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w:t>
      </w:r>
      <w:r>
        <w:rPr>
          <w:rFonts w:ascii="仿宋" w:eastAsia="仿宋" w:hAnsi="仿宋" w:hint="eastAsia"/>
          <w:color w:val="000000" w:themeColor="text1"/>
          <w:sz w:val="32"/>
          <w:szCs w:val="32"/>
        </w:rPr>
        <w:t>华优选价值股票型证券投资基金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0-5</w:t>
      </w:r>
      <w:r>
        <w:rPr>
          <w:rFonts w:ascii="仿宋" w:eastAsia="仿宋" w:hAnsi="仿宋" w:hint="eastAsia"/>
          <w:color w:val="000000" w:themeColor="text1"/>
          <w:sz w:val="32"/>
          <w:szCs w:val="32"/>
        </w:rPr>
        <w:t>年利率债债券型发起式证券投资基金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鹏华尊泰一年定期开放债券型发起式证券投资基金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鹏华国证证券龙头交易型开放式指数证券投资基金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鹏华科技创新混合型证券投资基金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鹏华尊裕一年定期开放债券型发起式证券投资基金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鹏华优质回报两年定期开放混合型证券投资基金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鹏华丰诚债券型证券投资基金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鹏华安泽混合型证券投资基金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鹏华稳健回报混合型证券投资基金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鹏华鑫享稳健混合型证券投资基金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鹏华价值共赢两年持有期混合型证券投资基金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鹏华股息精选混合型证券投资基金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鹏华成长价值混合型证券投资基金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鹏华尊达一年定期开放债券型发起式证券投资基金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鹏华优质企业混合型证券投资基金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鹏华安和混合型证券投资基金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鹏华安庆混合型证券投资基金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鹏华安惠混合型证券投资基金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鹏华匠心精选混合型证券投资基金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鹏华锦润</w:t>
      </w:r>
      <w:r>
        <w:rPr>
          <w:rFonts w:ascii="仿宋" w:eastAsia="仿宋" w:hAnsi="仿宋" w:hint="eastAsia"/>
          <w:color w:val="000000" w:themeColor="text1"/>
          <w:sz w:val="32"/>
          <w:szCs w:val="32"/>
        </w:rPr>
        <w:t>86</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鹏华安睿两年持有期混合型证券投资基金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0-4</w:t>
      </w:r>
      <w:r>
        <w:rPr>
          <w:rFonts w:ascii="仿宋" w:eastAsia="仿宋" w:hAnsi="仿宋" w:hint="eastAsia"/>
          <w:color w:val="000000" w:themeColor="text1"/>
          <w:sz w:val="32"/>
          <w:szCs w:val="32"/>
        </w:rPr>
        <w:t>年期地方政府债交易型开放式指数证券投资基金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年农发行债券指数证券投资基金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鹏华招华一年持有期混合型证券投资基金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鹏华年年红一年持有期债券型证券投资基金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AA+</w:t>
      </w:r>
      <w:r>
        <w:rPr>
          <w:rFonts w:ascii="仿宋" w:eastAsia="仿宋" w:hAnsi="仿宋" w:hint="eastAsia"/>
          <w:color w:val="000000" w:themeColor="text1"/>
          <w:sz w:val="32"/>
          <w:szCs w:val="32"/>
        </w:rPr>
        <w:t>优选信用债指数证券投资基金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鹏华启航混合型证券投资基金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鹏华创新未来混合型证券投资基金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鹏华成长智选混合型证券投资基金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鹏华丰颐债券型证券投资基金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鹏华高质量增长混合型证券投资基金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鹏华尊和一年定期开放债券型发起式证券投资基金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鹏华安润混合型证券投资基金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鹏华安享一年持有期混合型证券投资基金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鹏华汇智优选混合型证券投资基金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鹏华安裕</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鹏华弘裕一年持有期混合型证券投资基金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鹏华安悦一年持有期混合型证券投资基金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鹏华品质优选混合型证券投资基金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鹏华中证畜牧养殖交易型开放式指数证券投资基金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有色金属行业交易型开放式指数证券投资基金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鹏华宁华一年持有期混合型证券投资基金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鹏华致远成长混合型证券投资基金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鹏华远见回报三年持有期混合型证券投资基金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鹏华民丰盈和</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鹏华招润一年持有期混合型证券投资基金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鹏华鑫远价值一年持有期混合型证券投资基金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鹏华永益</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鹏华创新升级混合型证券投资基金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鹏华领航一年持有期混合型证券投资基金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鹏华稳泰</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天滚动持有债券型证券投资基金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鹏华新能源精选混合型证券投资基金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鹏华丰宁债券型证券投资基金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鹏华品质成长混合型证券投资基金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鹏华长治稳健养老目标一年持有期混合型基金中基金（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鹏华稳健鸿利一年持有期</w:t>
      </w:r>
      <w:r>
        <w:rPr>
          <w:rFonts w:ascii="仿宋" w:eastAsia="仿宋" w:hAnsi="仿宋" w:hint="eastAsia"/>
          <w:color w:val="000000" w:themeColor="text1"/>
          <w:sz w:val="32"/>
          <w:szCs w:val="32"/>
        </w:rPr>
        <w:t>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鹏华产业升级混合型证券投资基金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鹏华安诚混合型证券投资基金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鹏华安荣混合型证券投资基金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鹏华精选群英一年持有期灵活配置混合型管理人中管理人（</w:t>
      </w:r>
      <w:r>
        <w:rPr>
          <w:rFonts w:ascii="仿宋" w:eastAsia="仿宋" w:hAnsi="仿宋" w:hint="eastAsia"/>
          <w:color w:val="000000" w:themeColor="text1"/>
          <w:sz w:val="32"/>
          <w:szCs w:val="32"/>
        </w:rPr>
        <w:t>MOM</w:t>
      </w:r>
      <w:r>
        <w:rPr>
          <w:rFonts w:ascii="仿宋" w:eastAsia="仿宋" w:hAnsi="仿宋" w:hint="eastAsia"/>
          <w:color w:val="000000" w:themeColor="text1"/>
          <w:sz w:val="32"/>
          <w:szCs w:val="32"/>
        </w:rPr>
        <w:t>）证券投资基金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鹏华品质精选混合型证券投资基金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鹏华上华一年持有期混合型证券投资基金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鹏华安康一年持有期混合型证券投资基金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鹏华安颐混合型证券投资基金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鹏华稳华</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鹏华中证沪港深科技龙头指数证券投资基金（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鹏华沃鑫混合型证券投资基金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鹏华稳瑞中短债债券型证券投资基金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鹏华成长领航两年持有期混合型证券投资基金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鹏华价值远航</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鹏华双季享</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鹏华创新增长一年持有期混合型证券投资基金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鹏华深圳能源清洁能源封闭式基础设施证券投资基金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鹏华稳享一年持有期混合型证券投资基金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鹏华新能源汽车主题混合型证券投资基金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鹏华永平</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鹏华增华混合型证券投资基金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鹏华丰启债券型证券投资基金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鹏华创兴增利债券型证券投资基金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鹏华稳福中短债债券型证券投资基金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鹏华永鑫一年定期开放债券型证券投资基金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成份增强策略交易型开放式指数证券投资基金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鹏华稳健增利债券型证券投资基金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鹏华稳健恒利债券型证券投资基金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2040</w:t>
      </w:r>
      <w:r>
        <w:rPr>
          <w:rFonts w:ascii="仿宋" w:eastAsia="仿宋" w:hAnsi="仿宋" w:hint="eastAsia"/>
          <w:color w:val="000000" w:themeColor="text1"/>
          <w:sz w:val="32"/>
          <w:szCs w:val="32"/>
        </w:rPr>
        <w:t>五年持有期混合型发起式基金中基金（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鹏华睿进一年持有期混合型证券投资基金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指数增强型证券投资基金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鹏华丰尊债券型证券投资基金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鹏华安锦一年持有期混合型证券投资基金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鹏华汽车产业混合型发起式证券投资基金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鹏华新材料混合型发起式证券投资基金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鹏华稳健添利债券型证券投资基金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鹏华悦享一年持有期混合型证券投资基金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鹏华碳中和主题混合型证券投资基金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鹏华芯片产业混合型发起式证券投资基金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鹏华丰顺债券型证券投资基金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鹏华睿见混合型证券投资基金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鹏华高端装备一年持有期混合型证券投资基金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w:t>
      </w:r>
      <w:r>
        <w:rPr>
          <w:rFonts w:ascii="仿宋" w:eastAsia="仿宋" w:hAnsi="仿宋" w:hint="eastAsia"/>
          <w:color w:val="000000" w:themeColor="text1"/>
          <w:sz w:val="32"/>
          <w:szCs w:val="32"/>
        </w:rPr>
        <w:t>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2050</w:t>
      </w:r>
      <w:r>
        <w:rPr>
          <w:rFonts w:ascii="仿宋" w:eastAsia="仿宋" w:hAnsi="仿宋" w:hint="eastAsia"/>
          <w:color w:val="000000" w:themeColor="text1"/>
          <w:sz w:val="32"/>
          <w:szCs w:val="32"/>
        </w:rPr>
        <w:t>五年持有期混合型发起式基金中基金（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鹏华易诚积极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鹏华远见精选混合型发起式证券投资基金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鹏华丰景债券型证券投资基金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鹏华道琼斯工业平均交易型开放式指数证券投资基金（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鹏华双季红</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鹏华稳益</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鹏华双季乐</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鹏华永兴债券型证券投资基金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鹏华智投数字经济混合型证券投资基金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鹏华品质甄选混合型证券投资基金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鹏华创新医药混合型证券投资基金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鹏华精新添利债券型证券投资基金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鹏华成长先锋混合型证券投资基金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成份增强策略交易型开放式指数证券投资基金发起式联</w:t>
      </w:r>
      <w:r>
        <w:rPr>
          <w:rFonts w:ascii="仿宋" w:eastAsia="仿宋" w:hAnsi="仿宋" w:hint="eastAsia"/>
          <w:color w:val="000000" w:themeColor="text1"/>
          <w:sz w:val="32"/>
          <w:szCs w:val="32"/>
        </w:rPr>
        <w:t>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鹏华科技驱动混合型发起式证券投资基金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鹏华绿色债券债券型证券投资基金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鹏华中证全指公用事业交易型开放式指数证券投资基金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鹏华添泽</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天滚动持有债券型证券投资基金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鹏华添和</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w:t>
      </w:r>
      <w:r>
        <w:rPr>
          <w:rFonts w:ascii="仿宋" w:eastAsia="仿宋" w:hAnsi="仿宋" w:hint="eastAsia"/>
          <w:color w:val="000000" w:themeColor="text1"/>
          <w:sz w:val="32"/>
          <w:szCs w:val="32"/>
        </w:rPr>
        <w:t>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自由现金流交易型开放式指数证券投资基金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指数量化增强型证券投资基金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交易型开放式指数证券投资基金发起式联接基金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鹏华国证钢铁行业指数型证券投资基金</w:t>
      </w:r>
      <w:r>
        <w:rPr>
          <w:rFonts w:ascii="仿宋" w:eastAsia="仿宋" w:hAnsi="仿宋" w:hint="eastAsia"/>
          <w:color w:val="000000" w:themeColor="text1"/>
          <w:sz w:val="32"/>
          <w:szCs w:val="32"/>
        </w:rPr>
        <w:t>(LOF)</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鹏华恒生港股通高股息率指数发起式证券投资基金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鹏华畅享债券型证券投资基金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鹏华兴鹏一年持有期混合型证券投资基金</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http://www.phfund.com.cn</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400-6788-999</w:t>
      </w:r>
      <w:r>
        <w:rPr>
          <w:rFonts w:ascii="仿宋" w:eastAsia="仿宋" w:hAnsi="仿宋" w:hint="eastAsia"/>
          <w:color w:val="000000" w:themeColor="text1"/>
          <w:sz w:val="32"/>
          <w:szCs w:val="32"/>
        </w:rPr>
        <w:t>/</w:t>
      </w:r>
      <w:r>
        <w:t xml:space="preserve"> </w:t>
      </w:r>
      <w:r>
        <w:rPr>
          <w:rFonts w:ascii="仿宋" w:eastAsia="仿宋" w:hAnsi="仿宋"/>
          <w:color w:val="000000" w:themeColor="text1"/>
          <w:sz w:val="32"/>
          <w:szCs w:val="32"/>
        </w:rPr>
        <w:t>400-6788-533</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5317EA" w:rsidRDefault="00FA489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317EA" w:rsidRDefault="005317EA">
      <w:pPr>
        <w:spacing w:line="540" w:lineRule="exact"/>
        <w:ind w:firstLineChars="200" w:firstLine="640"/>
        <w:rPr>
          <w:rFonts w:ascii="仿宋" w:eastAsia="仿宋" w:hAnsi="仿宋"/>
          <w:color w:val="000000" w:themeColor="text1"/>
          <w:sz w:val="32"/>
          <w:szCs w:val="32"/>
        </w:rPr>
      </w:pPr>
    </w:p>
    <w:p w:rsidR="005317EA" w:rsidRDefault="00FA4893">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p>
    <w:p w:rsidR="005317EA" w:rsidRDefault="00FA4893">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2025</w:t>
      </w:r>
      <w:r>
        <w:rPr>
          <w:rFonts w:ascii="仿宋" w:eastAsia="仿宋" w:hAnsi="仿宋"/>
          <w:color w:val="000000" w:themeColor="text1"/>
          <w:sz w:val="32"/>
          <w:szCs w:val="32"/>
        </w:rPr>
        <w:t>年</w:t>
      </w:r>
      <w:r>
        <w:rPr>
          <w:rFonts w:ascii="仿宋" w:eastAsia="仿宋" w:hAnsi="仿宋" w:hint="eastAsia"/>
          <w:color w:val="000000" w:themeColor="text1"/>
          <w:sz w:val="32"/>
          <w:szCs w:val="32"/>
        </w:rPr>
        <w:t>07</w:t>
      </w:r>
      <w:r>
        <w:rPr>
          <w:rFonts w:ascii="仿宋" w:eastAsia="仿宋" w:hAnsi="仿宋"/>
          <w:color w:val="000000" w:themeColor="text1"/>
          <w:sz w:val="32"/>
          <w:szCs w:val="32"/>
        </w:rPr>
        <w:t>月</w:t>
      </w:r>
      <w:r>
        <w:rPr>
          <w:rFonts w:ascii="仿宋" w:eastAsia="仿宋" w:hAnsi="仿宋" w:hint="eastAsia"/>
          <w:color w:val="000000" w:themeColor="text1"/>
          <w:sz w:val="32"/>
          <w:szCs w:val="32"/>
        </w:rPr>
        <w:t>18</w:t>
      </w:r>
      <w:r>
        <w:rPr>
          <w:rFonts w:ascii="仿宋" w:eastAsia="仿宋" w:hAnsi="仿宋"/>
          <w:color w:val="000000" w:themeColor="text1"/>
          <w:sz w:val="32"/>
          <w:szCs w:val="32"/>
        </w:rPr>
        <w:t>日</w:t>
      </w:r>
    </w:p>
    <w:sectPr w:rsidR="005317EA" w:rsidSect="005317EA">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EA" w:rsidRDefault="005317EA" w:rsidP="005317EA">
      <w:r>
        <w:separator/>
      </w:r>
    </w:p>
  </w:endnote>
  <w:endnote w:type="continuationSeparator" w:id="0">
    <w:p w:rsidR="005317EA" w:rsidRDefault="005317EA" w:rsidP="00531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317EA" w:rsidRDefault="005317EA">
        <w:pPr>
          <w:pStyle w:val="a5"/>
          <w:jc w:val="center"/>
        </w:pPr>
        <w:r>
          <w:fldChar w:fldCharType="begin"/>
        </w:r>
        <w:r w:rsidR="00FA4893">
          <w:instrText>PAGE   \* MERGEFORMAT</w:instrText>
        </w:r>
        <w:r>
          <w:fldChar w:fldCharType="separate"/>
        </w:r>
        <w:r w:rsidR="00FA4893" w:rsidRPr="00FA4893">
          <w:rPr>
            <w:noProof/>
            <w:lang w:val="zh-CN"/>
          </w:rPr>
          <w:t>2</w:t>
        </w:r>
        <w:r>
          <w:fldChar w:fldCharType="end"/>
        </w:r>
      </w:p>
    </w:sdtContent>
  </w:sdt>
  <w:p w:rsidR="005317EA" w:rsidRDefault="005317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317EA" w:rsidRDefault="005317EA">
        <w:pPr>
          <w:pStyle w:val="a5"/>
          <w:jc w:val="center"/>
        </w:pPr>
        <w:r>
          <w:fldChar w:fldCharType="begin"/>
        </w:r>
        <w:r w:rsidR="00FA4893">
          <w:instrText>PAGE   \* MERGEFORMAT</w:instrText>
        </w:r>
        <w:r>
          <w:fldChar w:fldCharType="separate"/>
        </w:r>
        <w:r w:rsidR="00FA4893" w:rsidRPr="00FA4893">
          <w:rPr>
            <w:noProof/>
            <w:lang w:val="zh-CN"/>
          </w:rPr>
          <w:t>1</w:t>
        </w:r>
        <w:r>
          <w:fldChar w:fldCharType="end"/>
        </w:r>
      </w:p>
    </w:sdtContent>
  </w:sdt>
  <w:p w:rsidR="005317EA" w:rsidRDefault="005317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EA" w:rsidRDefault="005317EA" w:rsidP="005317EA">
      <w:r>
        <w:separator/>
      </w:r>
    </w:p>
  </w:footnote>
  <w:footnote w:type="continuationSeparator" w:id="0">
    <w:p w:rsidR="005317EA" w:rsidRDefault="005317EA" w:rsidP="005317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03B2F"/>
    <w:rsid w:val="00010044"/>
    <w:rsid w:val="00022ABD"/>
    <w:rsid w:val="00025D40"/>
    <w:rsid w:val="000300E5"/>
    <w:rsid w:val="0003246C"/>
    <w:rsid w:val="00033010"/>
    <w:rsid w:val="00033204"/>
    <w:rsid w:val="000475F0"/>
    <w:rsid w:val="000539F6"/>
    <w:rsid w:val="00056EE0"/>
    <w:rsid w:val="00057323"/>
    <w:rsid w:val="00067DEB"/>
    <w:rsid w:val="0008010F"/>
    <w:rsid w:val="00081ADE"/>
    <w:rsid w:val="00084E7D"/>
    <w:rsid w:val="00087988"/>
    <w:rsid w:val="0009227A"/>
    <w:rsid w:val="00093E55"/>
    <w:rsid w:val="00094F20"/>
    <w:rsid w:val="000A0272"/>
    <w:rsid w:val="000A0ECE"/>
    <w:rsid w:val="000A588E"/>
    <w:rsid w:val="000B53A5"/>
    <w:rsid w:val="000C06E1"/>
    <w:rsid w:val="000C1032"/>
    <w:rsid w:val="000C792E"/>
    <w:rsid w:val="000D18EF"/>
    <w:rsid w:val="000E13E9"/>
    <w:rsid w:val="000E7D66"/>
    <w:rsid w:val="000F07E6"/>
    <w:rsid w:val="000F407E"/>
    <w:rsid w:val="000F4301"/>
    <w:rsid w:val="000F6458"/>
    <w:rsid w:val="001039BC"/>
    <w:rsid w:val="001279BE"/>
    <w:rsid w:val="0013251E"/>
    <w:rsid w:val="001445A9"/>
    <w:rsid w:val="00146307"/>
    <w:rsid w:val="00146F2C"/>
    <w:rsid w:val="001533B2"/>
    <w:rsid w:val="001623CF"/>
    <w:rsid w:val="00165D5C"/>
    <w:rsid w:val="00166B15"/>
    <w:rsid w:val="00174C8C"/>
    <w:rsid w:val="0017571E"/>
    <w:rsid w:val="00175AED"/>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56A2D"/>
    <w:rsid w:val="00261CDE"/>
    <w:rsid w:val="0026276F"/>
    <w:rsid w:val="00264368"/>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B1905"/>
    <w:rsid w:val="003C2820"/>
    <w:rsid w:val="003C3CB5"/>
    <w:rsid w:val="003C5A1A"/>
    <w:rsid w:val="003D0424"/>
    <w:rsid w:val="003D32D7"/>
    <w:rsid w:val="003D5AA9"/>
    <w:rsid w:val="003F07BF"/>
    <w:rsid w:val="003F26B9"/>
    <w:rsid w:val="003F359D"/>
    <w:rsid w:val="003F4E13"/>
    <w:rsid w:val="003F6960"/>
    <w:rsid w:val="0040020D"/>
    <w:rsid w:val="00405ADB"/>
    <w:rsid w:val="00423E46"/>
    <w:rsid w:val="004254EE"/>
    <w:rsid w:val="00430D19"/>
    <w:rsid w:val="00433480"/>
    <w:rsid w:val="0043655D"/>
    <w:rsid w:val="00437D86"/>
    <w:rsid w:val="00441246"/>
    <w:rsid w:val="00441E0B"/>
    <w:rsid w:val="00452A46"/>
    <w:rsid w:val="00452DF0"/>
    <w:rsid w:val="00454581"/>
    <w:rsid w:val="00454978"/>
    <w:rsid w:val="00454994"/>
    <w:rsid w:val="00467E81"/>
    <w:rsid w:val="00471AE6"/>
    <w:rsid w:val="004744B6"/>
    <w:rsid w:val="004748B9"/>
    <w:rsid w:val="00477BA8"/>
    <w:rsid w:val="00477EB2"/>
    <w:rsid w:val="0048111A"/>
    <w:rsid w:val="00487BF1"/>
    <w:rsid w:val="00491FCB"/>
    <w:rsid w:val="00497943"/>
    <w:rsid w:val="00497A8B"/>
    <w:rsid w:val="004A0E45"/>
    <w:rsid w:val="004A54A6"/>
    <w:rsid w:val="004B005C"/>
    <w:rsid w:val="004B1105"/>
    <w:rsid w:val="004B664C"/>
    <w:rsid w:val="004C3109"/>
    <w:rsid w:val="004C44C4"/>
    <w:rsid w:val="004C625A"/>
    <w:rsid w:val="004C6355"/>
    <w:rsid w:val="004E1D5E"/>
    <w:rsid w:val="004E540A"/>
    <w:rsid w:val="004E630B"/>
    <w:rsid w:val="004F7313"/>
    <w:rsid w:val="00513357"/>
    <w:rsid w:val="005158A6"/>
    <w:rsid w:val="0052094C"/>
    <w:rsid w:val="005317EA"/>
    <w:rsid w:val="00534A41"/>
    <w:rsid w:val="0053650E"/>
    <w:rsid w:val="00542535"/>
    <w:rsid w:val="00544E6E"/>
    <w:rsid w:val="00547910"/>
    <w:rsid w:val="00551033"/>
    <w:rsid w:val="00560AC4"/>
    <w:rsid w:val="00563FE4"/>
    <w:rsid w:val="0056745C"/>
    <w:rsid w:val="00567A02"/>
    <w:rsid w:val="005711D9"/>
    <w:rsid w:val="005751C6"/>
    <w:rsid w:val="00582D8F"/>
    <w:rsid w:val="005837B0"/>
    <w:rsid w:val="00596AC1"/>
    <w:rsid w:val="005A408B"/>
    <w:rsid w:val="005A46AE"/>
    <w:rsid w:val="005A692A"/>
    <w:rsid w:val="005A77EA"/>
    <w:rsid w:val="005B1AE2"/>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589F"/>
    <w:rsid w:val="00626EA8"/>
    <w:rsid w:val="00630D56"/>
    <w:rsid w:val="00641CEA"/>
    <w:rsid w:val="00641E6E"/>
    <w:rsid w:val="0065080E"/>
    <w:rsid w:val="00655229"/>
    <w:rsid w:val="00656B0C"/>
    <w:rsid w:val="00660522"/>
    <w:rsid w:val="0066309A"/>
    <w:rsid w:val="0066627D"/>
    <w:rsid w:val="00682C0E"/>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0C03"/>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539C"/>
    <w:rsid w:val="008B77D5"/>
    <w:rsid w:val="008C155D"/>
    <w:rsid w:val="008D4634"/>
    <w:rsid w:val="008D4BA6"/>
    <w:rsid w:val="008E4CD7"/>
    <w:rsid w:val="008E58F7"/>
    <w:rsid w:val="008E6EC1"/>
    <w:rsid w:val="00903815"/>
    <w:rsid w:val="00903C0A"/>
    <w:rsid w:val="009062C4"/>
    <w:rsid w:val="0090723B"/>
    <w:rsid w:val="00910193"/>
    <w:rsid w:val="0092312D"/>
    <w:rsid w:val="00926454"/>
    <w:rsid w:val="00933628"/>
    <w:rsid w:val="009465EA"/>
    <w:rsid w:val="009506DC"/>
    <w:rsid w:val="009566C4"/>
    <w:rsid w:val="00956DD9"/>
    <w:rsid w:val="00956DE1"/>
    <w:rsid w:val="009628AE"/>
    <w:rsid w:val="00967A04"/>
    <w:rsid w:val="00973509"/>
    <w:rsid w:val="00977BBE"/>
    <w:rsid w:val="00977E7B"/>
    <w:rsid w:val="00986792"/>
    <w:rsid w:val="009871EF"/>
    <w:rsid w:val="00991132"/>
    <w:rsid w:val="00991292"/>
    <w:rsid w:val="00991AEE"/>
    <w:rsid w:val="0099252E"/>
    <w:rsid w:val="00993CBF"/>
    <w:rsid w:val="00997D63"/>
    <w:rsid w:val="009A149B"/>
    <w:rsid w:val="009B06DA"/>
    <w:rsid w:val="009B1AE6"/>
    <w:rsid w:val="009B33C8"/>
    <w:rsid w:val="009B5D57"/>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1606"/>
    <w:rsid w:val="00A96435"/>
    <w:rsid w:val="00AB49A1"/>
    <w:rsid w:val="00AB7720"/>
    <w:rsid w:val="00AC1161"/>
    <w:rsid w:val="00AD18DD"/>
    <w:rsid w:val="00AD562B"/>
    <w:rsid w:val="00AE3F47"/>
    <w:rsid w:val="00AE69BF"/>
    <w:rsid w:val="00AF140F"/>
    <w:rsid w:val="00AF7347"/>
    <w:rsid w:val="00B014DF"/>
    <w:rsid w:val="00B05BA4"/>
    <w:rsid w:val="00B11B77"/>
    <w:rsid w:val="00B16987"/>
    <w:rsid w:val="00B17EF5"/>
    <w:rsid w:val="00B2068A"/>
    <w:rsid w:val="00B23F95"/>
    <w:rsid w:val="00B25BAB"/>
    <w:rsid w:val="00B26285"/>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17EC9"/>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5035D"/>
    <w:rsid w:val="00D5213E"/>
    <w:rsid w:val="00D52A3F"/>
    <w:rsid w:val="00D535B2"/>
    <w:rsid w:val="00D56E0D"/>
    <w:rsid w:val="00D62A71"/>
    <w:rsid w:val="00D70A3B"/>
    <w:rsid w:val="00D72110"/>
    <w:rsid w:val="00D8051D"/>
    <w:rsid w:val="00D864D4"/>
    <w:rsid w:val="00D919AF"/>
    <w:rsid w:val="00D92993"/>
    <w:rsid w:val="00D937BD"/>
    <w:rsid w:val="00DA2D7C"/>
    <w:rsid w:val="00DA7C0E"/>
    <w:rsid w:val="00DB093A"/>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964F7"/>
    <w:rsid w:val="00EA6F84"/>
    <w:rsid w:val="00EB7931"/>
    <w:rsid w:val="00EC36A4"/>
    <w:rsid w:val="00ED3A15"/>
    <w:rsid w:val="00ED548C"/>
    <w:rsid w:val="00ED7E8B"/>
    <w:rsid w:val="00ED7F3F"/>
    <w:rsid w:val="00EF043C"/>
    <w:rsid w:val="00EF0B2A"/>
    <w:rsid w:val="00EF29E3"/>
    <w:rsid w:val="00EF49B3"/>
    <w:rsid w:val="00EF56E1"/>
    <w:rsid w:val="00EF73FD"/>
    <w:rsid w:val="00F00561"/>
    <w:rsid w:val="00F01150"/>
    <w:rsid w:val="00F01E3D"/>
    <w:rsid w:val="00F04DC2"/>
    <w:rsid w:val="00F066D9"/>
    <w:rsid w:val="00F25F52"/>
    <w:rsid w:val="00F469D5"/>
    <w:rsid w:val="00F47FEE"/>
    <w:rsid w:val="00F50D09"/>
    <w:rsid w:val="00F5233B"/>
    <w:rsid w:val="00F527B3"/>
    <w:rsid w:val="00F632AF"/>
    <w:rsid w:val="00F6382D"/>
    <w:rsid w:val="00F63F55"/>
    <w:rsid w:val="00F66378"/>
    <w:rsid w:val="00F71C51"/>
    <w:rsid w:val="00F77F4B"/>
    <w:rsid w:val="00F9100C"/>
    <w:rsid w:val="00FA0934"/>
    <w:rsid w:val="00FA4893"/>
    <w:rsid w:val="00FA653D"/>
    <w:rsid w:val="00FB23EE"/>
    <w:rsid w:val="00FC34DF"/>
    <w:rsid w:val="00FD658E"/>
    <w:rsid w:val="00FE0C5A"/>
    <w:rsid w:val="00FE13A2"/>
    <w:rsid w:val="00FE6D91"/>
    <w:rsid w:val="053D4AA8"/>
    <w:rsid w:val="08571D21"/>
    <w:rsid w:val="2B7317E4"/>
    <w:rsid w:val="4704306E"/>
    <w:rsid w:val="4A6F0DCC"/>
    <w:rsid w:val="4ADD027D"/>
    <w:rsid w:val="6F5F3A1F"/>
    <w:rsid w:val="78AB7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E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317EA"/>
    <w:pPr>
      <w:jc w:val="left"/>
    </w:pPr>
  </w:style>
  <w:style w:type="paragraph" w:styleId="a4">
    <w:name w:val="Balloon Text"/>
    <w:basedOn w:val="a"/>
    <w:link w:val="Char0"/>
    <w:uiPriority w:val="99"/>
    <w:semiHidden/>
    <w:unhideWhenUsed/>
    <w:qFormat/>
    <w:rsid w:val="005317EA"/>
    <w:rPr>
      <w:sz w:val="18"/>
      <w:szCs w:val="18"/>
    </w:rPr>
  </w:style>
  <w:style w:type="paragraph" w:styleId="a5">
    <w:name w:val="footer"/>
    <w:basedOn w:val="a"/>
    <w:link w:val="Char1"/>
    <w:uiPriority w:val="99"/>
    <w:unhideWhenUsed/>
    <w:qFormat/>
    <w:rsid w:val="005317E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317E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5317EA"/>
    <w:pPr>
      <w:snapToGrid w:val="0"/>
      <w:jc w:val="left"/>
    </w:pPr>
    <w:rPr>
      <w:sz w:val="18"/>
      <w:szCs w:val="18"/>
    </w:rPr>
  </w:style>
  <w:style w:type="paragraph" w:styleId="a8">
    <w:name w:val="annotation subject"/>
    <w:basedOn w:val="a3"/>
    <w:next w:val="a3"/>
    <w:link w:val="Char4"/>
    <w:uiPriority w:val="99"/>
    <w:semiHidden/>
    <w:unhideWhenUsed/>
    <w:qFormat/>
    <w:rsid w:val="005317EA"/>
    <w:rPr>
      <w:b/>
      <w:bCs/>
    </w:rPr>
  </w:style>
  <w:style w:type="character" w:styleId="a9">
    <w:name w:val="FollowedHyperlink"/>
    <w:basedOn w:val="a0"/>
    <w:uiPriority w:val="99"/>
    <w:semiHidden/>
    <w:unhideWhenUsed/>
    <w:qFormat/>
    <w:rsid w:val="005317EA"/>
    <w:rPr>
      <w:color w:val="800080" w:themeColor="followedHyperlink"/>
      <w:u w:val="single"/>
    </w:rPr>
  </w:style>
  <w:style w:type="character" w:styleId="aa">
    <w:name w:val="Hyperlink"/>
    <w:basedOn w:val="a0"/>
    <w:uiPriority w:val="99"/>
    <w:unhideWhenUsed/>
    <w:qFormat/>
    <w:rsid w:val="005317EA"/>
    <w:rPr>
      <w:color w:val="0000FF" w:themeColor="hyperlink"/>
      <w:u w:val="single"/>
    </w:rPr>
  </w:style>
  <w:style w:type="character" w:styleId="ab">
    <w:name w:val="annotation reference"/>
    <w:basedOn w:val="a0"/>
    <w:uiPriority w:val="99"/>
    <w:semiHidden/>
    <w:unhideWhenUsed/>
    <w:qFormat/>
    <w:rsid w:val="005317EA"/>
    <w:rPr>
      <w:sz w:val="21"/>
      <w:szCs w:val="21"/>
    </w:rPr>
  </w:style>
  <w:style w:type="character" w:styleId="ac">
    <w:name w:val="footnote reference"/>
    <w:basedOn w:val="a0"/>
    <w:uiPriority w:val="99"/>
    <w:semiHidden/>
    <w:unhideWhenUsed/>
    <w:qFormat/>
    <w:rsid w:val="005317EA"/>
    <w:rPr>
      <w:vertAlign w:val="superscript"/>
    </w:rPr>
  </w:style>
  <w:style w:type="character" w:customStyle="1" w:styleId="Char2">
    <w:name w:val="页眉 Char"/>
    <w:basedOn w:val="a0"/>
    <w:link w:val="a6"/>
    <w:uiPriority w:val="99"/>
    <w:qFormat/>
    <w:rsid w:val="005317EA"/>
    <w:rPr>
      <w:sz w:val="18"/>
      <w:szCs w:val="18"/>
    </w:rPr>
  </w:style>
  <w:style w:type="character" w:customStyle="1" w:styleId="Char1">
    <w:name w:val="页脚 Char"/>
    <w:basedOn w:val="a0"/>
    <w:link w:val="a5"/>
    <w:uiPriority w:val="99"/>
    <w:qFormat/>
    <w:rsid w:val="005317EA"/>
    <w:rPr>
      <w:sz w:val="18"/>
      <w:szCs w:val="18"/>
    </w:rPr>
  </w:style>
  <w:style w:type="paragraph" w:styleId="ad">
    <w:name w:val="List Paragraph"/>
    <w:basedOn w:val="a"/>
    <w:uiPriority w:val="34"/>
    <w:qFormat/>
    <w:rsid w:val="005317EA"/>
    <w:pPr>
      <w:ind w:firstLineChars="200" w:firstLine="420"/>
    </w:pPr>
  </w:style>
  <w:style w:type="character" w:customStyle="1" w:styleId="Char0">
    <w:name w:val="批注框文本 Char"/>
    <w:basedOn w:val="a0"/>
    <w:link w:val="a4"/>
    <w:uiPriority w:val="99"/>
    <w:semiHidden/>
    <w:qFormat/>
    <w:rsid w:val="005317EA"/>
    <w:rPr>
      <w:sz w:val="18"/>
      <w:szCs w:val="18"/>
    </w:rPr>
  </w:style>
  <w:style w:type="character" w:customStyle="1" w:styleId="Char">
    <w:name w:val="批注文字 Char"/>
    <w:basedOn w:val="a0"/>
    <w:link w:val="a3"/>
    <w:uiPriority w:val="99"/>
    <w:semiHidden/>
    <w:qFormat/>
    <w:rsid w:val="005317EA"/>
  </w:style>
  <w:style w:type="character" w:customStyle="1" w:styleId="Char4">
    <w:name w:val="批注主题 Char"/>
    <w:basedOn w:val="Char"/>
    <w:link w:val="a8"/>
    <w:uiPriority w:val="99"/>
    <w:semiHidden/>
    <w:qFormat/>
    <w:rsid w:val="005317EA"/>
    <w:rPr>
      <w:b/>
      <w:bCs/>
    </w:rPr>
  </w:style>
  <w:style w:type="character" w:customStyle="1" w:styleId="Char3">
    <w:name w:val="脚注文本 Char"/>
    <w:basedOn w:val="a0"/>
    <w:link w:val="a7"/>
    <w:uiPriority w:val="99"/>
    <w:semiHidden/>
    <w:qFormat/>
    <w:rsid w:val="005317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560D-FCBD-4F1F-9C3C-35D78B73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6541</Characters>
  <Application>Microsoft Office Word</Application>
  <DocSecurity>4</DocSecurity>
  <Lines>54</Lines>
  <Paragraphs>15</Paragraphs>
  <ScaleCrop>false</ScaleCrop>
  <Company>CNSTOCK</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2025-07-17T16:03:00Z</dcterms:created>
  <dcterms:modified xsi:type="dcterms:W3CDTF">2025-07-17T16:03:00Z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07EF17FB6E844747A1ED2E2C7B59CE03</vt:lpwstr>
  </property>
</Properties>
</file>