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36" w:rsidRDefault="00600655" w:rsidP="00F15D36">
      <w:pPr>
        <w:jc w:val="center"/>
        <w:rPr>
          <w:rFonts w:ascii="仿宋" w:eastAsia="仿宋" w:hAnsi="仿宋"/>
          <w:b/>
          <w:sz w:val="32"/>
          <w:szCs w:val="32"/>
        </w:rPr>
      </w:pPr>
      <w:r>
        <w:rPr>
          <w:rFonts w:ascii="仿宋" w:eastAsia="仿宋" w:hAnsi="仿宋" w:hint="eastAsia"/>
          <w:b/>
          <w:sz w:val="32"/>
          <w:szCs w:val="32"/>
        </w:rPr>
        <w:t>建信基金管理有限责任公司旗下</w:t>
      </w:r>
      <w:r w:rsidR="00123A7C">
        <w:rPr>
          <w:rFonts w:ascii="仿宋" w:eastAsia="仿宋" w:hAnsi="仿宋" w:hint="eastAsia"/>
          <w:b/>
          <w:sz w:val="32"/>
          <w:szCs w:val="32"/>
        </w:rPr>
        <w:t>172</w:t>
      </w:r>
      <w:r>
        <w:rPr>
          <w:rFonts w:ascii="仿宋" w:eastAsia="仿宋" w:hAnsi="仿宋" w:hint="eastAsia"/>
          <w:b/>
          <w:sz w:val="32"/>
          <w:szCs w:val="32"/>
        </w:rPr>
        <w:t>只基金</w:t>
      </w:r>
      <w:bookmarkStart w:id="0" w:name="_Hlk69137197"/>
    </w:p>
    <w:p w:rsidR="00600655" w:rsidRDefault="00E94281" w:rsidP="00F15D36">
      <w:pPr>
        <w:jc w:val="center"/>
        <w:rPr>
          <w:rFonts w:ascii="仿宋" w:eastAsia="仿宋" w:hAnsi="仿宋"/>
          <w:b/>
          <w:sz w:val="32"/>
          <w:szCs w:val="32"/>
        </w:rPr>
      </w:pPr>
      <w:r>
        <w:rPr>
          <w:rFonts w:ascii="仿宋" w:eastAsia="仿宋" w:hAnsi="仿宋" w:hint="eastAsia"/>
          <w:b/>
          <w:sz w:val="32"/>
          <w:szCs w:val="32"/>
        </w:rPr>
        <w:t>2025</w:t>
      </w:r>
      <w:r w:rsidR="0011034B">
        <w:rPr>
          <w:rFonts w:ascii="仿宋" w:eastAsia="仿宋" w:hAnsi="仿宋" w:hint="eastAsia"/>
          <w:b/>
          <w:sz w:val="32"/>
          <w:szCs w:val="32"/>
        </w:rPr>
        <w:t>年</w:t>
      </w:r>
      <w:bookmarkEnd w:id="0"/>
      <w:r w:rsidR="00A93C92">
        <w:rPr>
          <w:rFonts w:ascii="仿宋" w:eastAsia="仿宋" w:hAnsi="仿宋" w:hint="eastAsia"/>
          <w:b/>
          <w:sz w:val="32"/>
          <w:szCs w:val="32"/>
        </w:rPr>
        <w:t>第二</w:t>
      </w:r>
      <w:r>
        <w:rPr>
          <w:rFonts w:ascii="仿宋" w:eastAsia="仿宋" w:hAnsi="仿宋" w:hint="eastAsia"/>
          <w:b/>
          <w:sz w:val="32"/>
          <w:szCs w:val="32"/>
        </w:rPr>
        <w:t>季</w:t>
      </w:r>
      <w:r w:rsidR="00425833">
        <w:rPr>
          <w:rFonts w:ascii="仿宋" w:eastAsia="仿宋" w:hAnsi="仿宋" w:hint="eastAsia"/>
          <w:b/>
          <w:sz w:val="32"/>
          <w:szCs w:val="32"/>
        </w:rPr>
        <w:t>度</w:t>
      </w:r>
      <w:r w:rsidR="00600655">
        <w:rPr>
          <w:rFonts w:ascii="仿宋" w:eastAsia="仿宋" w:hAnsi="仿宋" w:hint="eastAsia"/>
          <w:b/>
          <w:sz w:val="32"/>
          <w:szCs w:val="32"/>
        </w:rPr>
        <w:t>报告提示性公告</w:t>
      </w:r>
    </w:p>
    <w:p w:rsidR="00600655" w:rsidRDefault="00600655" w:rsidP="00600655"/>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建信基金管理有限责任公司董事会及董事保证本公司旗下</w:t>
      </w:r>
      <w:r w:rsidR="00A93C92">
        <w:rPr>
          <w:rFonts w:ascii="仿宋" w:eastAsia="仿宋" w:hAnsi="仿宋"/>
          <w:color w:val="000000" w:themeColor="text1"/>
          <w:sz w:val="32"/>
          <w:szCs w:val="32"/>
        </w:rPr>
        <w:t>1</w:t>
      </w:r>
      <w:r w:rsidR="00123A7C">
        <w:rPr>
          <w:rFonts w:ascii="仿宋" w:eastAsia="仿宋" w:hAnsi="仿宋" w:hint="eastAsia"/>
          <w:color w:val="000000" w:themeColor="text1"/>
          <w:sz w:val="32"/>
          <w:szCs w:val="32"/>
        </w:rPr>
        <w:t>72</w:t>
      </w:r>
      <w:r>
        <w:rPr>
          <w:rFonts w:ascii="仿宋" w:eastAsia="仿宋" w:hAnsi="仿宋" w:hint="eastAsia"/>
          <w:color w:val="000000" w:themeColor="text1"/>
          <w:sz w:val="32"/>
          <w:szCs w:val="32"/>
        </w:rPr>
        <w:t>只基金</w:t>
      </w:r>
      <w:r w:rsidR="00E94281">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A93C92">
        <w:rPr>
          <w:rFonts w:ascii="仿宋" w:eastAsia="仿宋" w:hAnsi="仿宋" w:hint="eastAsia"/>
          <w:color w:val="000000" w:themeColor="text1"/>
          <w:sz w:val="32"/>
          <w:szCs w:val="32"/>
        </w:rPr>
        <w:t>第二</w:t>
      </w:r>
      <w:r w:rsidR="00E94281">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sidR="00A93C92">
        <w:rPr>
          <w:rFonts w:ascii="仿宋" w:eastAsia="仿宋" w:hAnsi="仿宋"/>
          <w:color w:val="000000" w:themeColor="text1"/>
          <w:sz w:val="32"/>
          <w:szCs w:val="32"/>
        </w:rPr>
        <w:t>1</w:t>
      </w:r>
      <w:r w:rsidR="00123A7C">
        <w:rPr>
          <w:rFonts w:ascii="仿宋" w:eastAsia="仿宋" w:hAnsi="仿宋" w:hint="eastAsia"/>
          <w:color w:val="000000" w:themeColor="text1"/>
          <w:sz w:val="32"/>
          <w:szCs w:val="32"/>
        </w:rPr>
        <w:t>72</w:t>
      </w:r>
      <w:r>
        <w:rPr>
          <w:rFonts w:ascii="仿宋" w:eastAsia="仿宋" w:hAnsi="仿宋" w:hint="eastAsia"/>
          <w:color w:val="000000" w:themeColor="text1"/>
          <w:sz w:val="32"/>
          <w:szCs w:val="32"/>
        </w:rPr>
        <w:t>只基金的</w:t>
      </w:r>
      <w:r w:rsidR="008D5690">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A93C92">
        <w:rPr>
          <w:rFonts w:ascii="仿宋" w:eastAsia="仿宋" w:hAnsi="仿宋" w:hint="eastAsia"/>
          <w:color w:val="000000" w:themeColor="text1"/>
          <w:sz w:val="32"/>
          <w:szCs w:val="32"/>
        </w:rPr>
        <w:t>第二</w:t>
      </w:r>
      <w:r w:rsidR="008D5690">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报告全文于</w:t>
      </w:r>
      <w:r w:rsidR="00FB2B0D">
        <w:rPr>
          <w:rFonts w:ascii="仿宋" w:eastAsia="仿宋" w:hAnsi="仿宋" w:hint="eastAsia"/>
          <w:color w:val="000000" w:themeColor="text1"/>
          <w:sz w:val="32"/>
          <w:szCs w:val="32"/>
        </w:rPr>
        <w:t>2025</w:t>
      </w:r>
      <w:r w:rsidR="00686126">
        <w:rPr>
          <w:rFonts w:ascii="仿宋" w:eastAsia="仿宋" w:hAnsi="仿宋" w:hint="eastAsia"/>
          <w:color w:val="000000" w:themeColor="text1"/>
          <w:sz w:val="32"/>
          <w:szCs w:val="32"/>
        </w:rPr>
        <w:t>年</w:t>
      </w:r>
      <w:r w:rsidR="00A93C92">
        <w:rPr>
          <w:rFonts w:ascii="仿宋" w:eastAsia="仿宋" w:hAnsi="仿宋" w:hint="eastAsia"/>
          <w:color w:val="000000" w:themeColor="text1"/>
          <w:sz w:val="32"/>
          <w:szCs w:val="32"/>
        </w:rPr>
        <w:t>7</w:t>
      </w:r>
      <w:r w:rsidR="00686126">
        <w:rPr>
          <w:rFonts w:ascii="仿宋" w:eastAsia="仿宋" w:hAnsi="仿宋" w:hint="eastAsia"/>
          <w:color w:val="000000" w:themeColor="text1"/>
          <w:sz w:val="32"/>
          <w:szCs w:val="32"/>
        </w:rPr>
        <w:t>月</w:t>
      </w:r>
      <w:r w:rsidR="00A93C92">
        <w:rPr>
          <w:rFonts w:ascii="仿宋" w:eastAsia="仿宋" w:hAnsi="仿宋" w:hint="eastAsia"/>
          <w:color w:val="000000" w:themeColor="text1"/>
          <w:sz w:val="32"/>
          <w:szCs w:val="32"/>
        </w:rPr>
        <w:t>18</w:t>
      </w:r>
      <w:r w:rsidR="00686126">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在本公司网站[www.ccbfund.cn]和中国证监会基金电子披露网站（</w:t>
      </w:r>
      <w:hyperlink r:id="rId6" w:history="1">
        <w:r>
          <w:rPr>
            <w:rStyle w:val="a3"/>
            <w:rFonts w:ascii="仿宋" w:eastAsia="仿宋" w:hAnsi="仿宋" w:hint="eastAsia"/>
            <w:sz w:val="32"/>
            <w:szCs w:val="32"/>
          </w:rPr>
          <w:t>http://eid.csrc.gov.cn/fund</w:t>
        </w:r>
      </w:hyperlink>
      <w:r>
        <w:rPr>
          <w:rFonts w:ascii="仿宋" w:eastAsia="仿宋" w:hAnsi="仿宋" w:hint="eastAsia"/>
          <w:color w:val="000000" w:themeColor="text1"/>
          <w:sz w:val="32"/>
          <w:szCs w:val="32"/>
        </w:rPr>
        <w:t>）披露，供投资者查阅。具体基金明细如下：</w:t>
      </w:r>
    </w:p>
    <w:tbl>
      <w:tblPr>
        <w:tblW w:w="8379" w:type="dxa"/>
        <w:tblInd w:w="93" w:type="dxa"/>
        <w:tblLook w:val="04A0"/>
      </w:tblPr>
      <w:tblGrid>
        <w:gridCol w:w="1080"/>
        <w:gridCol w:w="7299"/>
      </w:tblGrid>
      <w:tr w:rsidR="001E78B0" w:rsidRPr="007D1672" w:rsidTr="001C416F">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1E78B0" w:rsidRPr="007D1672" w:rsidRDefault="001E78B0" w:rsidP="006F7E7D">
            <w:pPr>
              <w:widowControl/>
              <w:jc w:val="center"/>
              <w:rPr>
                <w:rFonts w:ascii="仿宋" w:eastAsia="仿宋" w:hAnsi="仿宋" w:cs="宋体"/>
                <w:b/>
                <w:bCs/>
                <w:color w:val="000000"/>
                <w:kern w:val="0"/>
                <w:sz w:val="22"/>
              </w:rPr>
            </w:pPr>
            <w:r w:rsidRPr="007D1672">
              <w:rPr>
                <w:rFonts w:ascii="仿宋" w:eastAsia="仿宋" w:hAnsi="仿宋" w:hint="eastAsia"/>
                <w:sz w:val="22"/>
              </w:rPr>
              <w:t>序号</w:t>
            </w:r>
          </w:p>
        </w:tc>
        <w:tc>
          <w:tcPr>
            <w:tcW w:w="7299" w:type="dxa"/>
            <w:tcBorders>
              <w:top w:val="single" w:sz="8" w:space="0" w:color="auto"/>
              <w:left w:val="nil"/>
              <w:bottom w:val="single" w:sz="8" w:space="0" w:color="auto"/>
              <w:right w:val="single" w:sz="8" w:space="0" w:color="auto"/>
            </w:tcBorders>
            <w:shd w:val="clear" w:color="auto" w:fill="auto"/>
            <w:noWrap/>
            <w:vAlign w:val="center"/>
            <w:hideMark/>
          </w:tcPr>
          <w:p w:rsidR="001E78B0" w:rsidRPr="007D1672" w:rsidRDefault="001E78B0" w:rsidP="006F7E7D">
            <w:pPr>
              <w:widowControl/>
              <w:jc w:val="center"/>
              <w:rPr>
                <w:rFonts w:ascii="仿宋" w:eastAsia="仿宋" w:hAnsi="仿宋" w:cs="宋体"/>
                <w:b/>
                <w:bCs/>
                <w:color w:val="000000"/>
                <w:kern w:val="0"/>
                <w:sz w:val="22"/>
              </w:rPr>
            </w:pPr>
            <w:r>
              <w:rPr>
                <w:rFonts w:ascii="仿宋" w:eastAsia="仿宋" w:hAnsi="仿宋" w:hint="eastAsia"/>
                <w:color w:val="000000"/>
                <w:sz w:val="22"/>
              </w:rPr>
              <w:t>基金名称</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建信MSCI中国A股国际通交易型开放式指数证券投资基金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建信MSCI中国A股国际通交易型开放式指数证券投资基金发起式联接基金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建信MSCI中国A股指数增强型证券投资基金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建信阿尔法一年持有期混合型证券投资基金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建信安心回报6个月定期开放债券型证券投资基金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建信安心回报定期开放债券型证券投资基金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建信渤泰债券型证券投资基金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建信创新驱动混合型证券投资基金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建信创新中国混合型证券投资基金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10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建信创业板交易型开放式指数证券投资基金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建信创业板交易型开放式指数证券投资基金发起式联接基金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建信纯债债券型证券投资基金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建信大安全战略精选股票型证券投资基金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建信电子行业股票型证券投资基金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建信短债债券型证券投资基金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建信多因子量化股票型证券投资基金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建信丰融债券型证券投资基金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建信福泽安泰混合型基金中基金（FOF）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建信福泽裕泰混合型基金中基金(FOF)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建信富时100指数型证券投资基金（QDII）</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建信改革红利股票型证券投资基金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建信港股通精选混合型证券投资基金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建信高端医疗股票型证券投资基金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建信高端装备股票型证券投资基金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建信高股息主题股票型证券投资基金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建信国证新能源车电池交易型开放式指数证券投资基金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建信核心精选混合型证券投资基金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建信恒久价值混合型证券投资基金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29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建信恒瑞债券型证券投资基金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建信恒生科技指数型发起式证券投资基金（QDII）</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31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建信恒稳价值混合型证券投资基金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建信弘利灵活配置混合型证券投资基金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建信红利精选股票型发起式证券投资基金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建信泓利一年持有期债券型证券投资基金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建信互联网+产业升级股票型证券投资基金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建信沪深300红利交易型开放式指数证券投资基金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建信沪深300红利交易型开放式指数证券投资基金发起式联接基金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建信沪深300指数增强型证券投资基金（LOF）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39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建信沪深300指数证券投资基金（LOF）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建信环保产业股票型证券投资基金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建信汇利灵活配置混合型证券投资基金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建信汇益一年持有期混合型证券投资基金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建信货币市场基金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建信积极配置混合型证券投资基金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建信嘉薪宝货币市场基金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建信健康民生混合型证券投资基金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建信精工制造指数增强型证券投资基金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建信开元惠享6个月持有期债券型发起式证券投资基金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49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建信开元金享6个月持有期债券型发起式证券投资基金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建信开元瑞享3个月持有期债券型证券投资基金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建信开元耀享9个月持有期混合型发起式证券投资基金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建信科技创新混合型证券投资基金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建信利率债策略纯债债券型证券投资基金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建信利率债债券型证券投资基金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建信龙头企业股票型证券投资基金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建信龙祥稳进6个月持有期混合型基金中基金(FOF)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建信民丰回报定期开放混合型证券投资基金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59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建信纳斯达克100指数型证券投资基金（QDII）</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建信内生动力混合型证券投资基金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建信宁安30天持有期中短债债券型证券投资基金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建信宁远90天持有期债券型证券投资基金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建信彭博政策性银行债券1-5年指数证券投资基金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建信普泽养老目标日期2040三年持有期混合型发起式基金中基金(FOF)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建信普泽养老目标日期2050五年持有期混合型发起式基金中基金(FOF)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建信潜力新蓝筹股票型证券投资基金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建信荣瑞一年定期开放债券型证券投资基金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建信荣禧一年定期开放债券型证券投资基金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69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建信荣元一年定期开放债券型发起式证券投资基金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建信睿安一年定期开放债券型发起式证券投资基金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建信睿丰纯债定期开放债券型发起式证券投资基金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建信睿富纯债债券型证券投资基金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建信睿和纯债定期开放债券型发起式证券投资基金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建信睿享纯债债券型证券投资基金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建信睿信三个月定期开放债券型发起式证券投资基金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建信睿兴纯债债券型证券投资基金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建信睿阳一年定期开放债券型发起式证券投资基金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建信睿怡纯债债券型证券投资基金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79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建信睿盈灵活配置混合型证券投资基金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建信润利增强债券型证券投资基金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建信上海金交易型开放式证券投资基金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建信上海金交易型开放式证券投资基金联接基金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建信上证50交易型开放式指数证券投资基金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建信上证50交易型开放式指数证券投资基金发起式联接基金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建信上证科创板综合交易型开放式指数证券投资基金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建信上证社会责任交易型开放式指数证券投资基金联接基金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建信上证智选科创板创新价值交易型开放式指数证券投资基金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建信社会责任混合型证券投资基金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89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建信深证100指数增强型证券投资基金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建信深证基本面60交易型开放式指数证券投资基金联接基金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建信食品饮料行业股票型证券投资基金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建信收益增强债券型证券投资基金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建信双息红利债券型证券投资基金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建信双债增强债券型证券投资基金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建信天添益货币市场基金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建信添福悠享稳健养老目标一年持有期债券型基金中基金(FOF)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建信稳定得利债券型证券投资基金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建信稳定鑫利债券型证券投资基金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99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建信稳定增利债券型证券投资基金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建信沃信一年持有期混合型证券投资基金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建信现代服务业股票型证券投资基金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建信现金添利货币市场基金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建信现金添益交易型货币市场基金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建信现金增利货币市场基金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建信消费升级混合型证券投资基金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建信新材料精选股票型发起式证券投资基金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建信新经济灵活配置混合型证券投资基金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建信新能源行业股票型证券投资基金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109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建信新兴市场优选混合型证券投资基金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建信鑫安回报灵活配置混合型证券投资基金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建信鑫诚90天持有期债券型证券投资基金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建信鑫福60天持有期中短债债券型证券投资基金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建信鑫和30天持有期债券型证券投资基金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建信鑫恒120天滚动持有中短债债券型证券投资基金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建信鑫弘180天持有期债券型证券投资基金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建信鑫利灵活配置混合型证券投资基金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建信鑫稳回报灵活配置混合型证券投资基金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建信鑫享短债债券型证券投资基金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119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建信鑫怡90天滚动持有中短债债券型证券投资基金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建信鑫益90天持有期债券型证券投资基金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建信鑫源90天持有期债券型证券投资基金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建信鑫悦90天滚动持有中短债债券型发起式证券投资基金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建信信息产业股票型证券投资基金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建信信用增强债券型证券投资基金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建信兴晟优选一年持有期混合型证券投资基金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建信兴衡优选一年持有期混合型证券投资基金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建信兴利灵活配置混合型证券投资基金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建信兴润一年持有期混合型证券投资基金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129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建信研究精选混合型证券投资基金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建信央视财经50指数证券投资基金（LOF）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建信医疗健康行业股票型证券投资基金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建信易盛郑商所能源化工期货交易型开放式指数证券投资基金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建信易盛郑商所能源化工期货交易型开放式指数证券投资基金发起式联接基金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建信优化配置混合型证券投资基金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建信优势动力混合型证券投资基金（LOF）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建信优享进取养老目标五年持有期混合型发起式基金中基金(FOF)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建信优享科技创新混合型证券投资基金（LOF）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建信优享平衡养老目标三年持有期混合型发起式基金中基金(FOF)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139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建信优享稳健养老目标一年持有期混合型基金中基金(FOF)</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140</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建信优选成长混合型证券投资基金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141</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建信裕丰利率债三个月定期开放债券型证券投资基金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142</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建信裕利灵活配置混合型证券投资基金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143</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建信战略精选灵活配置混合型证券投资基金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144</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建信臻选混合型证券投资基金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145</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建信智汇优选一年持有期混合型管理人中管理人（MOM）证券投资基金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146</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建信智能汽车股票型证券投资基金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147</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建信智能生活混合型证券投资基金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148</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建信智远先锋混合型证券投资基金</w:t>
            </w:r>
          </w:p>
        </w:tc>
      </w:tr>
      <w:tr w:rsidR="00A93C92"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A93C92" w:rsidRPr="007D1672" w:rsidRDefault="00A93C92" w:rsidP="006F7E7D">
            <w:pPr>
              <w:widowControl/>
              <w:jc w:val="center"/>
              <w:rPr>
                <w:rFonts w:ascii="仿宋" w:eastAsia="仿宋" w:hAnsi="仿宋" w:cs="宋体"/>
                <w:color w:val="000000"/>
                <w:kern w:val="0"/>
                <w:sz w:val="22"/>
              </w:rPr>
            </w:pPr>
            <w:r w:rsidRPr="007D1672">
              <w:rPr>
                <w:rFonts w:ascii="仿宋" w:eastAsia="仿宋" w:hAnsi="仿宋" w:hint="eastAsia"/>
                <w:sz w:val="22"/>
              </w:rPr>
              <w:t>149</w:t>
            </w:r>
          </w:p>
        </w:tc>
        <w:tc>
          <w:tcPr>
            <w:tcW w:w="7299" w:type="dxa"/>
            <w:tcBorders>
              <w:top w:val="nil"/>
              <w:left w:val="nil"/>
              <w:bottom w:val="single" w:sz="8" w:space="0" w:color="auto"/>
              <w:right w:val="single" w:sz="8" w:space="0" w:color="auto"/>
            </w:tcBorders>
            <w:shd w:val="clear" w:color="auto" w:fill="auto"/>
            <w:noWrap/>
            <w:hideMark/>
          </w:tcPr>
          <w:p w:rsidR="00A93C92" w:rsidRPr="00A93C92" w:rsidRDefault="00A93C92" w:rsidP="006F7E7D">
            <w:pPr>
              <w:widowControl/>
              <w:jc w:val="center"/>
              <w:rPr>
                <w:rFonts w:ascii="仿宋" w:eastAsia="仿宋" w:hAnsi="仿宋"/>
                <w:color w:val="000000"/>
                <w:sz w:val="22"/>
              </w:rPr>
            </w:pPr>
            <w:r w:rsidRPr="00A93C92">
              <w:rPr>
                <w:rFonts w:ascii="仿宋" w:eastAsia="仿宋" w:hAnsi="仿宋" w:hint="eastAsia"/>
                <w:color w:val="000000"/>
                <w:sz w:val="22"/>
              </w:rPr>
              <w:t>建信中短债纯债债券型证券投资基金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150</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建信中国制造2025股票型证券投资基金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151</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建信中小盘先锋股票型证券投资基金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152</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建信中债0-3年政策性金融债指数证券投资基金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153</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建信中债0-5年政策性金融债指数证券投资基金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154</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建信中债1-3年国开行债券指数证券投资基金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155</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建信中债1-3年政策性金融债指数证券投资基金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156</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建信中债3-5年国开行债券指数证券投资基金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157</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建信中证1000指数增强型发起式证券投资基金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158</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建信中证500指数量化增强型发起式证券投资基金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159</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建信中证500指数增强型证券投资基金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160</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建信中证A股指数增强型发起式证券投资基金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161</w:t>
            </w:r>
          </w:p>
        </w:tc>
        <w:tc>
          <w:tcPr>
            <w:tcW w:w="7299" w:type="dxa"/>
            <w:tcBorders>
              <w:top w:val="nil"/>
              <w:left w:val="nil"/>
              <w:bottom w:val="single" w:sz="8" w:space="0" w:color="auto"/>
              <w:right w:val="single" w:sz="8" w:space="0" w:color="auto"/>
            </w:tcBorders>
            <w:shd w:val="clear" w:color="auto" w:fill="auto"/>
            <w:noWrap/>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建信中证创新药产业交易型开放式指数证券投资基金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162</w:t>
            </w:r>
          </w:p>
        </w:tc>
        <w:tc>
          <w:tcPr>
            <w:tcW w:w="7299" w:type="dxa"/>
            <w:tcBorders>
              <w:top w:val="nil"/>
              <w:left w:val="nil"/>
              <w:bottom w:val="single" w:sz="8" w:space="0" w:color="auto"/>
              <w:right w:val="single" w:sz="8" w:space="0" w:color="auto"/>
            </w:tcBorders>
            <w:shd w:val="clear" w:color="auto" w:fill="auto"/>
            <w:noWrap/>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建信中证红利潜力指数证券投资基金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163</w:t>
            </w:r>
          </w:p>
        </w:tc>
        <w:tc>
          <w:tcPr>
            <w:tcW w:w="7299" w:type="dxa"/>
            <w:tcBorders>
              <w:top w:val="nil"/>
              <w:left w:val="nil"/>
              <w:bottom w:val="single" w:sz="8" w:space="0" w:color="auto"/>
              <w:right w:val="single" w:sz="8" w:space="0" w:color="auto"/>
            </w:tcBorders>
            <w:shd w:val="clear" w:color="auto" w:fill="auto"/>
            <w:noWrap/>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建信中证农牧主题交易型开放式指数证券投资基金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123A7C" w:rsidRPr="007D1672" w:rsidRDefault="00123A7C" w:rsidP="006F7E7D">
            <w:pPr>
              <w:widowControl/>
              <w:jc w:val="center"/>
              <w:rPr>
                <w:rFonts w:ascii="仿宋" w:eastAsia="仿宋" w:hAnsi="仿宋" w:cs="宋体"/>
                <w:color w:val="000000"/>
                <w:kern w:val="0"/>
                <w:sz w:val="22"/>
              </w:rPr>
            </w:pPr>
            <w:r w:rsidRPr="007D1672">
              <w:rPr>
                <w:rFonts w:ascii="仿宋" w:eastAsia="仿宋" w:hAnsi="仿宋" w:hint="eastAsia"/>
                <w:sz w:val="22"/>
              </w:rPr>
              <w:t>164</w:t>
            </w:r>
          </w:p>
        </w:tc>
        <w:tc>
          <w:tcPr>
            <w:tcW w:w="7299" w:type="dxa"/>
            <w:tcBorders>
              <w:top w:val="nil"/>
              <w:left w:val="nil"/>
              <w:bottom w:val="single" w:sz="8" w:space="0" w:color="auto"/>
              <w:right w:val="single" w:sz="8" w:space="0" w:color="auto"/>
            </w:tcBorders>
            <w:shd w:val="clear" w:color="auto" w:fill="auto"/>
            <w:noWrap/>
            <w:hideMark/>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建信中证全指医疗保健设备与服务交易型开放式指数证券投资基金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Pr="007D1672" w:rsidRDefault="00123A7C" w:rsidP="006F7E7D">
            <w:pPr>
              <w:widowControl/>
              <w:jc w:val="center"/>
              <w:rPr>
                <w:rFonts w:ascii="仿宋" w:eastAsia="仿宋" w:hAnsi="仿宋"/>
                <w:sz w:val="22"/>
              </w:rPr>
            </w:pPr>
            <w:r>
              <w:rPr>
                <w:rFonts w:ascii="仿宋" w:eastAsia="仿宋" w:hAnsi="仿宋" w:hint="eastAsia"/>
                <w:sz w:val="22"/>
              </w:rPr>
              <w:t>165</w:t>
            </w:r>
          </w:p>
        </w:tc>
        <w:tc>
          <w:tcPr>
            <w:tcW w:w="7299" w:type="dxa"/>
            <w:tcBorders>
              <w:top w:val="nil"/>
              <w:left w:val="nil"/>
              <w:bottom w:val="single" w:sz="8" w:space="0" w:color="auto"/>
              <w:right w:val="single" w:sz="8" w:space="0" w:color="auto"/>
            </w:tcBorders>
            <w:shd w:val="clear" w:color="auto" w:fill="auto"/>
            <w:noWrap/>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建信中证全指证券公司交易型开放式指数证券投资基金</w:t>
            </w:r>
          </w:p>
        </w:tc>
      </w:tr>
      <w:tr w:rsidR="00123A7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Pr="007D1672" w:rsidRDefault="00123A7C" w:rsidP="006F7E7D">
            <w:pPr>
              <w:widowControl/>
              <w:jc w:val="center"/>
              <w:rPr>
                <w:rFonts w:ascii="仿宋" w:eastAsia="仿宋" w:hAnsi="仿宋"/>
                <w:sz w:val="22"/>
              </w:rPr>
            </w:pPr>
            <w:r>
              <w:rPr>
                <w:rFonts w:ascii="仿宋" w:eastAsia="仿宋" w:hAnsi="仿宋" w:hint="eastAsia"/>
                <w:sz w:val="22"/>
              </w:rPr>
              <w:t>166</w:t>
            </w:r>
          </w:p>
        </w:tc>
        <w:tc>
          <w:tcPr>
            <w:tcW w:w="7299" w:type="dxa"/>
            <w:tcBorders>
              <w:top w:val="nil"/>
              <w:left w:val="nil"/>
              <w:bottom w:val="single" w:sz="8" w:space="0" w:color="auto"/>
              <w:right w:val="single" w:sz="8" w:space="0" w:color="auto"/>
            </w:tcBorders>
            <w:shd w:val="clear" w:color="auto" w:fill="auto"/>
            <w:noWrap/>
          </w:tcPr>
          <w:p w:rsidR="00123A7C" w:rsidRPr="00A93C92"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建信中证同业存单AAA指数7天持有期证券投资基金</w:t>
            </w:r>
          </w:p>
        </w:tc>
      </w:tr>
      <w:tr w:rsidR="00123A7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Default="00123A7C" w:rsidP="006F7E7D">
            <w:pPr>
              <w:widowControl/>
              <w:jc w:val="center"/>
              <w:rPr>
                <w:rFonts w:ascii="仿宋" w:eastAsia="仿宋" w:hAnsi="仿宋"/>
                <w:sz w:val="22"/>
              </w:rPr>
            </w:pPr>
            <w:r>
              <w:rPr>
                <w:rFonts w:ascii="仿宋" w:eastAsia="仿宋" w:hAnsi="仿宋" w:hint="eastAsia"/>
                <w:sz w:val="22"/>
              </w:rPr>
              <w:t>167</w:t>
            </w:r>
          </w:p>
        </w:tc>
        <w:tc>
          <w:tcPr>
            <w:tcW w:w="7299" w:type="dxa"/>
            <w:tcBorders>
              <w:top w:val="nil"/>
              <w:left w:val="nil"/>
              <w:bottom w:val="single" w:sz="8" w:space="0" w:color="auto"/>
              <w:right w:val="single" w:sz="8" w:space="0" w:color="auto"/>
            </w:tcBorders>
            <w:shd w:val="clear" w:color="auto" w:fill="auto"/>
            <w:noWrap/>
          </w:tcPr>
          <w:p w:rsidR="00123A7C"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建信中证新材料主题交易型开放式指数证券投资基金</w:t>
            </w:r>
          </w:p>
        </w:tc>
      </w:tr>
      <w:tr w:rsidR="00123A7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Default="00123A7C" w:rsidP="006F7E7D">
            <w:pPr>
              <w:widowControl/>
              <w:jc w:val="center"/>
              <w:rPr>
                <w:rFonts w:ascii="仿宋" w:eastAsia="仿宋" w:hAnsi="仿宋"/>
                <w:sz w:val="22"/>
              </w:rPr>
            </w:pPr>
            <w:r>
              <w:rPr>
                <w:rFonts w:ascii="仿宋" w:eastAsia="仿宋" w:hAnsi="仿宋" w:hint="eastAsia"/>
                <w:sz w:val="22"/>
              </w:rPr>
              <w:t>168</w:t>
            </w:r>
          </w:p>
        </w:tc>
        <w:tc>
          <w:tcPr>
            <w:tcW w:w="7299" w:type="dxa"/>
            <w:tcBorders>
              <w:top w:val="nil"/>
              <w:left w:val="nil"/>
              <w:bottom w:val="single" w:sz="8" w:space="0" w:color="auto"/>
              <w:right w:val="single" w:sz="8" w:space="0" w:color="auto"/>
            </w:tcBorders>
            <w:shd w:val="clear" w:color="auto" w:fill="auto"/>
            <w:noWrap/>
          </w:tcPr>
          <w:p w:rsidR="00123A7C"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建信周盈安心理财债券型证券投资基金</w:t>
            </w:r>
          </w:p>
        </w:tc>
      </w:tr>
      <w:tr w:rsidR="00123A7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Default="00123A7C" w:rsidP="006F7E7D">
            <w:pPr>
              <w:widowControl/>
              <w:jc w:val="center"/>
              <w:rPr>
                <w:rFonts w:ascii="仿宋" w:eastAsia="仿宋" w:hAnsi="仿宋"/>
                <w:sz w:val="22"/>
              </w:rPr>
            </w:pPr>
            <w:r>
              <w:rPr>
                <w:rFonts w:ascii="仿宋" w:eastAsia="仿宋" w:hAnsi="仿宋" w:hint="eastAsia"/>
                <w:sz w:val="22"/>
              </w:rPr>
              <w:t>169</w:t>
            </w:r>
          </w:p>
        </w:tc>
        <w:tc>
          <w:tcPr>
            <w:tcW w:w="7299" w:type="dxa"/>
            <w:tcBorders>
              <w:top w:val="nil"/>
              <w:left w:val="nil"/>
              <w:bottom w:val="single" w:sz="8" w:space="0" w:color="auto"/>
              <w:right w:val="single" w:sz="8" w:space="0" w:color="auto"/>
            </w:tcBorders>
            <w:shd w:val="clear" w:color="auto" w:fill="auto"/>
            <w:noWrap/>
          </w:tcPr>
          <w:p w:rsidR="00123A7C"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建信转债增强债券型证券投资基金</w:t>
            </w:r>
          </w:p>
        </w:tc>
      </w:tr>
      <w:tr w:rsidR="00123A7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Default="00123A7C" w:rsidP="006F7E7D">
            <w:pPr>
              <w:widowControl/>
              <w:jc w:val="center"/>
              <w:rPr>
                <w:rFonts w:ascii="仿宋" w:eastAsia="仿宋" w:hAnsi="仿宋"/>
                <w:sz w:val="22"/>
              </w:rPr>
            </w:pPr>
            <w:r>
              <w:rPr>
                <w:rFonts w:ascii="仿宋" w:eastAsia="仿宋" w:hAnsi="仿宋" w:hint="eastAsia"/>
                <w:sz w:val="22"/>
              </w:rPr>
              <w:t>170</w:t>
            </w:r>
          </w:p>
        </w:tc>
        <w:tc>
          <w:tcPr>
            <w:tcW w:w="7299" w:type="dxa"/>
            <w:tcBorders>
              <w:top w:val="nil"/>
              <w:left w:val="nil"/>
              <w:bottom w:val="single" w:sz="8" w:space="0" w:color="auto"/>
              <w:right w:val="single" w:sz="8" w:space="0" w:color="auto"/>
            </w:tcBorders>
            <w:shd w:val="clear" w:color="auto" w:fill="auto"/>
            <w:noWrap/>
          </w:tcPr>
          <w:p w:rsidR="00123A7C"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建信卓越成长一年持有期混合型证券投资基金</w:t>
            </w:r>
          </w:p>
        </w:tc>
      </w:tr>
      <w:tr w:rsidR="00123A7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Default="00123A7C" w:rsidP="006F7E7D">
            <w:pPr>
              <w:widowControl/>
              <w:jc w:val="center"/>
              <w:rPr>
                <w:rFonts w:ascii="仿宋" w:eastAsia="仿宋" w:hAnsi="仿宋"/>
                <w:sz w:val="22"/>
              </w:rPr>
            </w:pPr>
            <w:r>
              <w:rPr>
                <w:rFonts w:ascii="仿宋" w:eastAsia="仿宋" w:hAnsi="仿宋" w:hint="eastAsia"/>
                <w:sz w:val="22"/>
              </w:rPr>
              <w:t>171</w:t>
            </w:r>
          </w:p>
        </w:tc>
        <w:tc>
          <w:tcPr>
            <w:tcW w:w="7299" w:type="dxa"/>
            <w:tcBorders>
              <w:top w:val="nil"/>
              <w:left w:val="nil"/>
              <w:bottom w:val="single" w:sz="8" w:space="0" w:color="auto"/>
              <w:right w:val="single" w:sz="8" w:space="0" w:color="auto"/>
            </w:tcBorders>
            <w:shd w:val="clear" w:color="auto" w:fill="auto"/>
            <w:noWrap/>
          </w:tcPr>
          <w:p w:rsidR="00123A7C"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上证社会责任交易型开放式指数证券投资基金</w:t>
            </w:r>
          </w:p>
        </w:tc>
      </w:tr>
      <w:tr w:rsidR="00123A7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123A7C" w:rsidRDefault="00123A7C" w:rsidP="006F7E7D">
            <w:pPr>
              <w:widowControl/>
              <w:jc w:val="center"/>
              <w:rPr>
                <w:rFonts w:ascii="仿宋" w:eastAsia="仿宋" w:hAnsi="仿宋"/>
                <w:sz w:val="22"/>
              </w:rPr>
            </w:pPr>
            <w:r>
              <w:rPr>
                <w:rFonts w:ascii="仿宋" w:eastAsia="仿宋" w:hAnsi="仿宋" w:hint="eastAsia"/>
                <w:sz w:val="22"/>
              </w:rPr>
              <w:t>172</w:t>
            </w:r>
          </w:p>
        </w:tc>
        <w:tc>
          <w:tcPr>
            <w:tcW w:w="7299" w:type="dxa"/>
            <w:tcBorders>
              <w:top w:val="nil"/>
              <w:left w:val="nil"/>
              <w:bottom w:val="single" w:sz="8" w:space="0" w:color="auto"/>
              <w:right w:val="single" w:sz="8" w:space="0" w:color="auto"/>
            </w:tcBorders>
            <w:shd w:val="clear" w:color="auto" w:fill="auto"/>
            <w:noWrap/>
          </w:tcPr>
          <w:p w:rsidR="00123A7C" w:rsidRDefault="00123A7C" w:rsidP="006F7E7D">
            <w:pPr>
              <w:widowControl/>
              <w:jc w:val="center"/>
              <w:rPr>
                <w:rFonts w:ascii="仿宋" w:eastAsia="仿宋" w:hAnsi="仿宋"/>
                <w:color w:val="000000"/>
                <w:sz w:val="22"/>
              </w:rPr>
            </w:pPr>
            <w:r w:rsidRPr="00123A7C">
              <w:rPr>
                <w:rFonts w:ascii="仿宋" w:eastAsia="仿宋" w:hAnsi="仿宋" w:hint="eastAsia"/>
                <w:color w:val="000000"/>
                <w:sz w:val="22"/>
              </w:rPr>
              <w:t>深证基本面60交易型开放式指数证券投资基金</w:t>
            </w:r>
          </w:p>
        </w:tc>
      </w:tr>
    </w:tbl>
    <w:p w:rsidR="00600655" w:rsidRDefault="00600655" w:rsidP="006F7E7D">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如有疑问可拨打本公司客服电话（400-81-95533）咨询。</w:t>
      </w:r>
    </w:p>
    <w:p w:rsidR="00600655" w:rsidRDefault="00600655" w:rsidP="00B22EC0">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本基金管理人承诺以诚实信用、勤勉尽责的原则管理和运用基金资产，但不保证本基金一定盈利，也不保证最低收益。请充分了解本基金的风险收益特征，审慎做出投资决定。</w:t>
      </w:r>
    </w:p>
    <w:p w:rsidR="00600655" w:rsidRDefault="00600655" w:rsidP="00A93C92">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特此公告。</w:t>
      </w:r>
    </w:p>
    <w:p w:rsidR="00600655" w:rsidRDefault="00600655" w:rsidP="00600655">
      <w:pPr>
        <w:spacing w:line="540" w:lineRule="exact"/>
        <w:ind w:firstLineChars="250" w:firstLine="800"/>
        <w:rPr>
          <w:rFonts w:ascii="仿宋" w:eastAsia="仿宋" w:hAnsi="仿宋"/>
          <w:color w:val="000000" w:themeColor="text1"/>
          <w:sz w:val="32"/>
          <w:szCs w:val="32"/>
        </w:rPr>
      </w:pPr>
    </w:p>
    <w:p w:rsidR="00123A7C" w:rsidRDefault="00123A7C" w:rsidP="00600655">
      <w:pPr>
        <w:spacing w:line="540" w:lineRule="exact"/>
        <w:ind w:firstLineChars="250" w:firstLine="800"/>
        <w:rPr>
          <w:rFonts w:ascii="仿宋" w:eastAsia="仿宋" w:hAnsi="仿宋"/>
          <w:color w:val="000000" w:themeColor="text1"/>
          <w:sz w:val="32"/>
          <w:szCs w:val="32"/>
        </w:rPr>
      </w:pPr>
      <w:bookmarkStart w:id="1" w:name="_GoBack"/>
      <w:bookmarkEnd w:id="1"/>
    </w:p>
    <w:p w:rsidR="00600655" w:rsidRDefault="00600655" w:rsidP="00600655">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建信基金管理有限责任公司</w:t>
      </w:r>
    </w:p>
    <w:p w:rsidR="00942254" w:rsidRPr="00685534" w:rsidRDefault="00011EC4" w:rsidP="0068553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FB2B0D">
        <w:rPr>
          <w:rFonts w:ascii="仿宋" w:eastAsia="仿宋" w:hAnsi="仿宋" w:hint="eastAsia"/>
          <w:color w:val="000000" w:themeColor="text1"/>
          <w:sz w:val="32"/>
          <w:szCs w:val="32"/>
        </w:rPr>
        <w:t>2025</w:t>
      </w:r>
      <w:r w:rsidR="00686126">
        <w:rPr>
          <w:rFonts w:ascii="仿宋" w:eastAsia="仿宋" w:hAnsi="仿宋" w:hint="eastAsia"/>
          <w:color w:val="000000" w:themeColor="text1"/>
          <w:sz w:val="32"/>
          <w:szCs w:val="32"/>
        </w:rPr>
        <w:t>年</w:t>
      </w:r>
      <w:r w:rsidR="00A93C92">
        <w:rPr>
          <w:rFonts w:ascii="仿宋" w:eastAsia="仿宋" w:hAnsi="仿宋" w:hint="eastAsia"/>
          <w:color w:val="000000" w:themeColor="text1"/>
          <w:sz w:val="32"/>
          <w:szCs w:val="32"/>
        </w:rPr>
        <w:t>7</w:t>
      </w:r>
      <w:r w:rsidR="00686126">
        <w:rPr>
          <w:rFonts w:ascii="仿宋" w:eastAsia="仿宋" w:hAnsi="仿宋" w:hint="eastAsia"/>
          <w:color w:val="000000" w:themeColor="text1"/>
          <w:sz w:val="32"/>
          <w:szCs w:val="32"/>
        </w:rPr>
        <w:t>月</w:t>
      </w:r>
      <w:r w:rsidR="00A93C92">
        <w:rPr>
          <w:rFonts w:ascii="仿宋" w:eastAsia="仿宋" w:hAnsi="仿宋" w:hint="eastAsia"/>
          <w:color w:val="000000" w:themeColor="text1"/>
          <w:sz w:val="32"/>
          <w:szCs w:val="32"/>
        </w:rPr>
        <w:t>18</w:t>
      </w:r>
      <w:r w:rsidR="00686126">
        <w:rPr>
          <w:rFonts w:ascii="仿宋" w:eastAsia="仿宋" w:hAnsi="仿宋" w:hint="eastAsia"/>
          <w:color w:val="000000" w:themeColor="text1"/>
          <w:sz w:val="32"/>
          <w:szCs w:val="32"/>
        </w:rPr>
        <w:t>日</w:t>
      </w:r>
    </w:p>
    <w:sectPr w:rsidR="00942254" w:rsidRPr="00685534" w:rsidSect="004E7A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110" w:rsidRDefault="00633110" w:rsidP="006A2311">
      <w:r>
        <w:separator/>
      </w:r>
    </w:p>
  </w:endnote>
  <w:endnote w:type="continuationSeparator" w:id="0">
    <w:p w:rsidR="00633110" w:rsidRDefault="00633110" w:rsidP="006A2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110" w:rsidRDefault="00633110" w:rsidP="006A2311">
      <w:r>
        <w:separator/>
      </w:r>
    </w:p>
  </w:footnote>
  <w:footnote w:type="continuationSeparator" w:id="0">
    <w:p w:rsidR="00633110" w:rsidRDefault="00633110" w:rsidP="006A2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ABF"/>
    <w:rsid w:val="00011EC4"/>
    <w:rsid w:val="00037E4A"/>
    <w:rsid w:val="00046993"/>
    <w:rsid w:val="00051038"/>
    <w:rsid w:val="0005215C"/>
    <w:rsid w:val="00074A61"/>
    <w:rsid w:val="00097BAB"/>
    <w:rsid w:val="000C19D7"/>
    <w:rsid w:val="000C1EBB"/>
    <w:rsid w:val="000E5782"/>
    <w:rsid w:val="000E6BFF"/>
    <w:rsid w:val="0011034B"/>
    <w:rsid w:val="00123A7C"/>
    <w:rsid w:val="001A4274"/>
    <w:rsid w:val="001E78B0"/>
    <w:rsid w:val="002312CE"/>
    <w:rsid w:val="00264EBF"/>
    <w:rsid w:val="002711D2"/>
    <w:rsid w:val="00275C3A"/>
    <w:rsid w:val="002859A8"/>
    <w:rsid w:val="002868F2"/>
    <w:rsid w:val="0028766A"/>
    <w:rsid w:val="002C77B3"/>
    <w:rsid w:val="002F647B"/>
    <w:rsid w:val="00300960"/>
    <w:rsid w:val="00310498"/>
    <w:rsid w:val="0031770B"/>
    <w:rsid w:val="00324D7C"/>
    <w:rsid w:val="00331C92"/>
    <w:rsid w:val="00342A0E"/>
    <w:rsid w:val="0039212A"/>
    <w:rsid w:val="003B380E"/>
    <w:rsid w:val="003B680A"/>
    <w:rsid w:val="003E3061"/>
    <w:rsid w:val="00425833"/>
    <w:rsid w:val="004273FF"/>
    <w:rsid w:val="004B0770"/>
    <w:rsid w:val="004E7A5C"/>
    <w:rsid w:val="00547F31"/>
    <w:rsid w:val="005705CB"/>
    <w:rsid w:val="0059240A"/>
    <w:rsid w:val="005A2501"/>
    <w:rsid w:val="00600655"/>
    <w:rsid w:val="00633110"/>
    <w:rsid w:val="00672FA7"/>
    <w:rsid w:val="00677D41"/>
    <w:rsid w:val="00685534"/>
    <w:rsid w:val="00686126"/>
    <w:rsid w:val="006A2311"/>
    <w:rsid w:val="006E268D"/>
    <w:rsid w:val="006F5E63"/>
    <w:rsid w:val="006F7E7D"/>
    <w:rsid w:val="007021D2"/>
    <w:rsid w:val="00747307"/>
    <w:rsid w:val="007851E5"/>
    <w:rsid w:val="0078702E"/>
    <w:rsid w:val="007A2227"/>
    <w:rsid w:val="007D1672"/>
    <w:rsid w:val="00812D32"/>
    <w:rsid w:val="00823E89"/>
    <w:rsid w:val="00826BC9"/>
    <w:rsid w:val="008276EA"/>
    <w:rsid w:val="00880D39"/>
    <w:rsid w:val="00891F5D"/>
    <w:rsid w:val="008B0481"/>
    <w:rsid w:val="008C2C8A"/>
    <w:rsid w:val="008C5CC5"/>
    <w:rsid w:val="008C7317"/>
    <w:rsid w:val="008D5690"/>
    <w:rsid w:val="008E117F"/>
    <w:rsid w:val="00940C49"/>
    <w:rsid w:val="00942254"/>
    <w:rsid w:val="00946CC4"/>
    <w:rsid w:val="00963C3F"/>
    <w:rsid w:val="009A650A"/>
    <w:rsid w:val="009D2DD5"/>
    <w:rsid w:val="009F5F3D"/>
    <w:rsid w:val="00A6420F"/>
    <w:rsid w:val="00A93C92"/>
    <w:rsid w:val="00AA0EEC"/>
    <w:rsid w:val="00AA1FCE"/>
    <w:rsid w:val="00AD34E8"/>
    <w:rsid w:val="00B06638"/>
    <w:rsid w:val="00B15568"/>
    <w:rsid w:val="00B22EC0"/>
    <w:rsid w:val="00B258DA"/>
    <w:rsid w:val="00BB122E"/>
    <w:rsid w:val="00BC431E"/>
    <w:rsid w:val="00C51087"/>
    <w:rsid w:val="00C743B4"/>
    <w:rsid w:val="00CB315B"/>
    <w:rsid w:val="00CB737E"/>
    <w:rsid w:val="00CD4E3E"/>
    <w:rsid w:val="00CF0ABF"/>
    <w:rsid w:val="00D26207"/>
    <w:rsid w:val="00D408B2"/>
    <w:rsid w:val="00D457F6"/>
    <w:rsid w:val="00D97D35"/>
    <w:rsid w:val="00DC11C4"/>
    <w:rsid w:val="00E63EEE"/>
    <w:rsid w:val="00E94281"/>
    <w:rsid w:val="00EA16B2"/>
    <w:rsid w:val="00ED3784"/>
    <w:rsid w:val="00EF26A9"/>
    <w:rsid w:val="00F15D36"/>
    <w:rsid w:val="00F20CE0"/>
    <w:rsid w:val="00F21146"/>
    <w:rsid w:val="00F42577"/>
    <w:rsid w:val="00F75274"/>
    <w:rsid w:val="00FB2B0D"/>
    <w:rsid w:val="00FC046F"/>
    <w:rsid w:val="00FD42AE"/>
    <w:rsid w:val="00FE5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webSettings.xml><?xml version="1.0" encoding="utf-8"?>
<w:webSettings xmlns:r="http://schemas.openxmlformats.org/officeDocument/2006/relationships" xmlns:w="http://schemas.openxmlformats.org/wordprocessingml/2006/main">
  <w:divs>
    <w:div w:id="36517473">
      <w:bodyDiv w:val="1"/>
      <w:marLeft w:val="0"/>
      <w:marRight w:val="0"/>
      <w:marTop w:val="0"/>
      <w:marBottom w:val="0"/>
      <w:divBdr>
        <w:top w:val="none" w:sz="0" w:space="0" w:color="auto"/>
        <w:left w:val="none" w:sz="0" w:space="0" w:color="auto"/>
        <w:bottom w:val="none" w:sz="0" w:space="0" w:color="auto"/>
        <w:right w:val="none" w:sz="0" w:space="0" w:color="auto"/>
      </w:divBdr>
    </w:div>
    <w:div w:id="459496465">
      <w:bodyDiv w:val="1"/>
      <w:marLeft w:val="0"/>
      <w:marRight w:val="0"/>
      <w:marTop w:val="0"/>
      <w:marBottom w:val="0"/>
      <w:divBdr>
        <w:top w:val="none" w:sz="0" w:space="0" w:color="auto"/>
        <w:left w:val="none" w:sz="0" w:space="0" w:color="auto"/>
        <w:bottom w:val="none" w:sz="0" w:space="0" w:color="auto"/>
        <w:right w:val="none" w:sz="0" w:space="0" w:color="auto"/>
      </w:divBdr>
    </w:div>
    <w:div w:id="500119171">
      <w:bodyDiv w:val="1"/>
      <w:marLeft w:val="0"/>
      <w:marRight w:val="0"/>
      <w:marTop w:val="0"/>
      <w:marBottom w:val="0"/>
      <w:divBdr>
        <w:top w:val="none" w:sz="0" w:space="0" w:color="auto"/>
        <w:left w:val="none" w:sz="0" w:space="0" w:color="auto"/>
        <w:bottom w:val="none" w:sz="0" w:space="0" w:color="auto"/>
        <w:right w:val="none" w:sz="0" w:space="0" w:color="auto"/>
      </w:divBdr>
    </w:div>
    <w:div w:id="641547710">
      <w:bodyDiv w:val="1"/>
      <w:marLeft w:val="0"/>
      <w:marRight w:val="0"/>
      <w:marTop w:val="0"/>
      <w:marBottom w:val="0"/>
      <w:divBdr>
        <w:top w:val="none" w:sz="0" w:space="0" w:color="auto"/>
        <w:left w:val="none" w:sz="0" w:space="0" w:color="auto"/>
        <w:bottom w:val="none" w:sz="0" w:space="0" w:color="auto"/>
        <w:right w:val="none" w:sz="0" w:space="0" w:color="auto"/>
      </w:divBdr>
    </w:div>
    <w:div w:id="807627360">
      <w:bodyDiv w:val="1"/>
      <w:marLeft w:val="0"/>
      <w:marRight w:val="0"/>
      <w:marTop w:val="0"/>
      <w:marBottom w:val="0"/>
      <w:divBdr>
        <w:top w:val="none" w:sz="0" w:space="0" w:color="auto"/>
        <w:left w:val="none" w:sz="0" w:space="0" w:color="auto"/>
        <w:bottom w:val="none" w:sz="0" w:space="0" w:color="auto"/>
        <w:right w:val="none" w:sz="0" w:space="0" w:color="auto"/>
      </w:divBdr>
    </w:div>
    <w:div w:id="918250075">
      <w:bodyDiv w:val="1"/>
      <w:marLeft w:val="0"/>
      <w:marRight w:val="0"/>
      <w:marTop w:val="0"/>
      <w:marBottom w:val="0"/>
      <w:divBdr>
        <w:top w:val="none" w:sz="0" w:space="0" w:color="auto"/>
        <w:left w:val="none" w:sz="0" w:space="0" w:color="auto"/>
        <w:bottom w:val="none" w:sz="0" w:space="0" w:color="auto"/>
        <w:right w:val="none" w:sz="0" w:space="0" w:color="auto"/>
      </w:divBdr>
    </w:div>
    <w:div w:id="990137552">
      <w:bodyDiv w:val="1"/>
      <w:marLeft w:val="0"/>
      <w:marRight w:val="0"/>
      <w:marTop w:val="0"/>
      <w:marBottom w:val="0"/>
      <w:divBdr>
        <w:top w:val="none" w:sz="0" w:space="0" w:color="auto"/>
        <w:left w:val="none" w:sz="0" w:space="0" w:color="auto"/>
        <w:bottom w:val="none" w:sz="0" w:space="0" w:color="auto"/>
        <w:right w:val="none" w:sz="0" w:space="0" w:color="auto"/>
      </w:divBdr>
    </w:div>
    <w:div w:id="1299799538">
      <w:bodyDiv w:val="1"/>
      <w:marLeft w:val="0"/>
      <w:marRight w:val="0"/>
      <w:marTop w:val="0"/>
      <w:marBottom w:val="0"/>
      <w:divBdr>
        <w:top w:val="none" w:sz="0" w:space="0" w:color="auto"/>
        <w:left w:val="none" w:sz="0" w:space="0" w:color="auto"/>
        <w:bottom w:val="none" w:sz="0" w:space="0" w:color="auto"/>
        <w:right w:val="none" w:sz="0" w:space="0" w:color="auto"/>
      </w:divBdr>
    </w:div>
    <w:div w:id="1395424424">
      <w:bodyDiv w:val="1"/>
      <w:marLeft w:val="0"/>
      <w:marRight w:val="0"/>
      <w:marTop w:val="0"/>
      <w:marBottom w:val="0"/>
      <w:divBdr>
        <w:top w:val="none" w:sz="0" w:space="0" w:color="auto"/>
        <w:left w:val="none" w:sz="0" w:space="0" w:color="auto"/>
        <w:bottom w:val="none" w:sz="0" w:space="0" w:color="auto"/>
        <w:right w:val="none" w:sz="0" w:space="0" w:color="auto"/>
      </w:divBdr>
    </w:div>
    <w:div w:id="1656763885">
      <w:bodyDiv w:val="1"/>
      <w:marLeft w:val="0"/>
      <w:marRight w:val="0"/>
      <w:marTop w:val="0"/>
      <w:marBottom w:val="0"/>
      <w:divBdr>
        <w:top w:val="none" w:sz="0" w:space="0" w:color="auto"/>
        <w:left w:val="none" w:sz="0" w:space="0" w:color="auto"/>
        <w:bottom w:val="none" w:sz="0" w:space="0" w:color="auto"/>
        <w:right w:val="none" w:sz="0" w:space="0" w:color="auto"/>
      </w:divBdr>
    </w:div>
    <w:div w:id="1760522997">
      <w:bodyDiv w:val="1"/>
      <w:marLeft w:val="0"/>
      <w:marRight w:val="0"/>
      <w:marTop w:val="0"/>
      <w:marBottom w:val="0"/>
      <w:divBdr>
        <w:top w:val="none" w:sz="0" w:space="0" w:color="auto"/>
        <w:left w:val="none" w:sz="0" w:space="0" w:color="auto"/>
        <w:bottom w:val="none" w:sz="0" w:space="0" w:color="auto"/>
        <w:right w:val="none" w:sz="0" w:space="0" w:color="auto"/>
      </w:divBdr>
    </w:div>
    <w:div w:id="1803576951">
      <w:bodyDiv w:val="1"/>
      <w:marLeft w:val="0"/>
      <w:marRight w:val="0"/>
      <w:marTop w:val="0"/>
      <w:marBottom w:val="0"/>
      <w:divBdr>
        <w:top w:val="none" w:sz="0" w:space="0" w:color="auto"/>
        <w:left w:val="none" w:sz="0" w:space="0" w:color="auto"/>
        <w:bottom w:val="none" w:sz="0" w:space="0" w:color="auto"/>
        <w:right w:val="none" w:sz="0" w:space="0" w:color="auto"/>
      </w:divBdr>
    </w:div>
    <w:div w:id="1809282719">
      <w:bodyDiv w:val="1"/>
      <w:marLeft w:val="0"/>
      <w:marRight w:val="0"/>
      <w:marTop w:val="0"/>
      <w:marBottom w:val="0"/>
      <w:divBdr>
        <w:top w:val="none" w:sz="0" w:space="0" w:color="auto"/>
        <w:left w:val="none" w:sz="0" w:space="0" w:color="auto"/>
        <w:bottom w:val="none" w:sz="0" w:space="0" w:color="auto"/>
        <w:right w:val="none" w:sz="0" w:space="0" w:color="auto"/>
      </w:divBdr>
    </w:div>
    <w:div w:id="20009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4</DocSecurity>
  <Lines>33</Lines>
  <Paragraphs>9</Paragraphs>
  <ScaleCrop>false</ScaleCrop>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Principle</dc:creator>
  <cp:lastModifiedBy>ZHONGM</cp:lastModifiedBy>
  <cp:revision>2</cp:revision>
  <dcterms:created xsi:type="dcterms:W3CDTF">2025-07-17T16:02:00Z</dcterms:created>
  <dcterms:modified xsi:type="dcterms:W3CDTF">2025-07-17T16:02:00Z</dcterms:modified>
</cp:coreProperties>
</file>