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C" w:rsidRDefault="004A7AFA" w:rsidP="00775368">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E90DCC" w:rsidRDefault="004A7AFA" w:rsidP="00775368">
      <w:pPr>
        <w:spacing w:line="540" w:lineRule="exact"/>
        <w:ind w:firstLineChars="50" w:firstLine="160"/>
        <w:jc w:val="center"/>
        <w:rPr>
          <w:rFonts w:ascii="仿宋" w:eastAsia="仿宋" w:hAnsi="仿宋"/>
          <w:b/>
          <w:color w:val="000000" w:themeColor="text1"/>
          <w:sz w:val="32"/>
          <w:szCs w:val="32"/>
        </w:rPr>
        <w:pPrChange w:id="0" w:author="ZHONGM" w:date="2025-07-18T00:02:00Z">
          <w:pPr>
            <w:spacing w:line="540" w:lineRule="exact"/>
            <w:ind w:firstLineChars="50" w:firstLine="160"/>
            <w:jc w:val="center"/>
          </w:pPr>
        </w:pPrChange>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第2季度报告提示性公告</w:t>
      </w:r>
    </w:p>
    <w:p w:rsidR="00E90DCC" w:rsidRDefault="00E90DCC" w:rsidP="00775368">
      <w:pPr>
        <w:spacing w:line="540" w:lineRule="exact"/>
        <w:ind w:firstLineChars="50" w:firstLine="160"/>
        <w:jc w:val="center"/>
        <w:rPr>
          <w:rFonts w:ascii="仿宋" w:eastAsia="仿宋" w:hAnsi="仿宋"/>
          <w:b/>
          <w:color w:val="000000" w:themeColor="text1"/>
          <w:sz w:val="32"/>
          <w:szCs w:val="32"/>
        </w:rPr>
        <w:pPrChange w:id="1" w:author="ZHONGM" w:date="2025-07-18T00:02:00Z">
          <w:pPr>
            <w:spacing w:line="540" w:lineRule="exact"/>
            <w:ind w:firstLineChars="50" w:firstLine="160"/>
            <w:jc w:val="center"/>
          </w:pPr>
        </w:pPrChange>
      </w:pP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第2</w:t>
      </w:r>
      <w:r>
        <w:rPr>
          <w:rFonts w:ascii="仿宋" w:eastAsia="仿宋" w:hAnsi="仿宋"/>
          <w:color w:val="000000" w:themeColor="text1"/>
          <w:sz w:val="32"/>
          <w:szCs w:val="32"/>
        </w:rPr>
        <w:t>季度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年第</w:t>
      </w:r>
      <w:r>
        <w:rPr>
          <w:rFonts w:ascii="仿宋" w:eastAsia="仿宋" w:hAnsi="仿宋" w:hint="eastAsia"/>
          <w:color w:val="000000" w:themeColor="text1"/>
          <w:sz w:val="32"/>
          <w:szCs w:val="32"/>
        </w:rPr>
        <w:t>2</w:t>
      </w:r>
      <w:r>
        <w:rPr>
          <w:rFonts w:ascii="仿宋" w:eastAsia="仿宋" w:hAnsi="仿宋"/>
          <w:color w:val="000000" w:themeColor="text1"/>
          <w:sz w:val="32"/>
          <w:szCs w:val="32"/>
        </w:rPr>
        <w:t>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Style w:val="a9"/>
        <w:tblW w:w="8784" w:type="dxa"/>
        <w:tblLook w:val="04A0"/>
      </w:tblPr>
      <w:tblGrid>
        <w:gridCol w:w="1555"/>
        <w:gridCol w:w="7229"/>
      </w:tblGrid>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b/>
                <w:bCs/>
                <w:color w:val="000000" w:themeColor="text1"/>
                <w:sz w:val="28"/>
                <w:szCs w:val="24"/>
              </w:rPr>
            </w:pPr>
            <w:r w:rsidRPr="00B5518B">
              <w:rPr>
                <w:rFonts w:ascii="仿宋" w:eastAsia="仿宋" w:hAnsi="仿宋" w:hint="eastAsia"/>
                <w:b/>
                <w:bCs/>
                <w:color w:val="000000" w:themeColor="text1"/>
                <w:sz w:val="28"/>
                <w:szCs w:val="24"/>
              </w:rPr>
              <w:t>基金代码</w:t>
            </w:r>
          </w:p>
        </w:tc>
        <w:tc>
          <w:tcPr>
            <w:tcW w:w="7229" w:type="dxa"/>
            <w:noWrap/>
            <w:hideMark/>
          </w:tcPr>
          <w:p w:rsidR="00B5518B" w:rsidRPr="00B5518B" w:rsidRDefault="00B5518B" w:rsidP="00B5518B">
            <w:pPr>
              <w:spacing w:line="540" w:lineRule="exact"/>
              <w:rPr>
                <w:rFonts w:ascii="仿宋" w:eastAsia="仿宋" w:hAnsi="仿宋"/>
                <w:b/>
                <w:bCs/>
                <w:color w:val="000000" w:themeColor="text1"/>
                <w:sz w:val="28"/>
                <w:szCs w:val="24"/>
              </w:rPr>
            </w:pPr>
            <w:r w:rsidRPr="00B5518B">
              <w:rPr>
                <w:rFonts w:ascii="仿宋" w:eastAsia="仿宋" w:hAnsi="仿宋" w:hint="eastAsia"/>
                <w:b/>
                <w:bCs/>
                <w:color w:val="000000" w:themeColor="text1"/>
                <w:sz w:val="28"/>
                <w:szCs w:val="24"/>
              </w:rPr>
              <w:t>披露基金名单</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700001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平安行业先锋混合型证券投资基金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700002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平安深证300指数增强型证券投资基金</w:t>
            </w:r>
          </w:p>
        </w:tc>
        <w:bookmarkStart w:id="2" w:name="_GoBack"/>
        <w:bookmarkEnd w:id="2"/>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700003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平安策略先锋混合型证券投资基金</w:t>
            </w:r>
          </w:p>
        </w:tc>
      </w:tr>
      <w:tr w:rsidR="00B5518B" w:rsidRPr="00B5518B" w:rsidTr="00B5518B">
        <w:trPr>
          <w:trHeight w:val="408"/>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700005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平安添利债券型证券投资基金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001664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平安鑫安混合型证券投资基金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002450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平安睿享文娱灵活配置混合型证券投资基金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167002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平安鼎越灵活配置混合型证券投资基金(LOF)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511700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平安交易型货币市场基金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167003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平安鼎弘混合型证券投资基金(LOF)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004403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平安股息精选沪港深股票型证券投资基金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004826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平安惠悦纯债债券型证券投资基金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003032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平安医疗健康混合型证券投资基金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510390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平安沪深300交易型开放式指数证券投资基金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005639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平安沪深300交易型开放式指数证券投资基金联接基金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005754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lastRenderedPageBreak/>
              <w:t>005750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平安双债添益债券型证券投资基金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006016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平安惠安纯债债券型证券投资基金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512360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平安MSCI中国A股国际交易型开放式指数证券投资基金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005896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平安合慧定期开放纯债债券型发起式证券投资基金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005868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平安MSCI中国A股国际交易型开放式指数证券投资基金联接基金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005895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平安合丰定期开放纯债债券型发起式证券投资基金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006222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平安惠兴纯债债券型证券投资基金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006100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平安优势产业灵活配置混合型证券投资基金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006264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平安惠轩纯债债券型证券投资基金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159960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平安港股通恒生中国企业交易型开放式指数证券投资基金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006412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平安合锦定期开放债券型发起式证券投资基金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006457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平安估值优势灵活配置混合型证券投资基金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002304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平安安心灵活配置混合型证券投资基金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006544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平安惠聚纯债债券型证券投资基金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004827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004632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平安合意定期开放债券型发起式证券投资基金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006720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平安核心优势混合型证券投资基金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006932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平安0-3年期政策性金融债债券型证券投资基金</w:t>
            </w:r>
          </w:p>
        </w:tc>
      </w:tr>
      <w:tr w:rsidR="00B5518B" w:rsidRPr="00B5518B" w:rsidTr="00B5518B">
        <w:trPr>
          <w:trHeight w:val="37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159964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平安创业板交易型开放式指数证券投资基金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004960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平安合泰3个月定期开放债券型发起式证券投资基金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007017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平安如意中短债债券型证券投资基金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007082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平安高端制造混合型证券投资基金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007158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平安合盛3个月定期开放债券型发起式证券投资基金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lastRenderedPageBreak/>
              <w:t>006097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平安高等级债债券型证券投资基金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512930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平安中证人工智能主题交易型开放式指数证券投资基金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007032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平安可转债债券型证券投资基金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007758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平安乐享一年定期开放债券型证券投资基金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512970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平安中证粤港澳大湾区发展主题交易型开放式指数证券投资基金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007859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平安5-10年期政策性金融债债券型证券投资基金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007935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平安惠澜纯债债券型证券投资基金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004630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平安合信3个月定期开放债券型发起式证券投资基金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007954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平安惠涌纯债债券型证券投资基金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008594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平安合润1年定期开放债券型发起式证券投资基金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008949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平安匠心优选混合型证券投资基金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008690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平安增利六个月定期开放债券型证券投资基金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009012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平安创业板交易型开放式指数证券投资基金联接基金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008911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平安元丰中短债债券型证券投资基金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007893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平安估值精选混合型证券投资基金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008595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平安惠智纯债债券型证券投资基金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009336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平安中证500指数增强型发起式证券投资基金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008726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平安添裕债券型证券投资基金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009053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平安合庆1年定期开放债券型发起式证券投资基金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009671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平安恒泽混合型证券投资基金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009509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平安惠润纯债债券型证券投资基金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009661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平安研究睿选混合型证券投资基金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009878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平安低碳经济混合型证券投资基金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009306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平安惠铭纯债债券型证券投资基金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010126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平安价值成长混合型证券投资基金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010056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平安瑞兴1年持有期混合型证券投资基金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010643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平安养老目标日期2025一年持有期混合型发起式基金中基金(FOF)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010651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平安双季增享6个月持有期债券型证券投资基金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011175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平安恒鑫混合型证券投资基金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011392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平安兴鑫回报一年定期开放混合型证券投资基金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011807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平安研究精选混合型证券投资基金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011761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平安鑫瑞混合型证券投资基金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516820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平安中证医药及医疗器械创新交易型开放式指数证券投资基金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012418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平安合进1年定期开放债券型发起式证券投资基金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516890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平安中证新材料主题交易型开放式指数证券投资基金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012722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平安中证光伏产业指数型发起式证券投资基金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012440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平安惠信3个月定期开放债券型证券投资基金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012475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平安优质企业混合型证券投资基金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012917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平安优势领航1年持有期混合型证券投资基金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013023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平安均衡优选1年持有期混合型证券投资基金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013343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平安盈欣稳健1年持有期混合型基金中基金(FOF)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159793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平安中证沪港深线上消费主题交易型开放式指数证券投资基金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013864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平安元泓30天滚动持有短债债券型证券投资基金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014081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平安中债1-3年国开行债券指数证券投资基金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013687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平安成长龙头1年持有期混合型证券投资基金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014460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平安品质优选混合型证券投资基金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014811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平安兴奕成长1年持有期混合型证券投资基金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013765</w:t>
            </w:r>
          </w:p>
        </w:tc>
        <w:tc>
          <w:tcPr>
            <w:tcW w:w="7229" w:type="dxa"/>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平安恒泰1年持有期混合型证券投资基金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012959</w:t>
            </w:r>
          </w:p>
        </w:tc>
        <w:tc>
          <w:tcPr>
            <w:tcW w:w="7229" w:type="dxa"/>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平安盈悦稳进回报1年持有期混合型基金中基金(FOF)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013767</w:t>
            </w:r>
          </w:p>
        </w:tc>
        <w:tc>
          <w:tcPr>
            <w:tcW w:w="7229" w:type="dxa"/>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平安价值回报混合型证券投资基金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015168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平安盈瑞六个月持有期债券型基金中基金（FOF）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014468</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平安元和90天滚动持有短债债券型证券投资基金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015699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平安均衡成长2年持有期混合型证券投资基金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015882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平安盈泽1年持有期债券型基金中基金（FOF）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016621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平安盈诚积极配置6个月持有期混合型基金中基金（FOF）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016447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平安双盈添益债券型证券投资基金</w:t>
            </w:r>
          </w:p>
        </w:tc>
      </w:tr>
      <w:tr w:rsidR="00B5518B" w:rsidRPr="00B5518B" w:rsidTr="00B5518B">
        <w:trPr>
          <w:trHeight w:val="402"/>
        </w:trPr>
        <w:tc>
          <w:tcPr>
            <w:tcW w:w="1555" w:type="dxa"/>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017532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平安研究优选混合型证券投资基金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017755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平安养老目标日期2040三年持有期混合型发起式基金中基金（FOF）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017549</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平安策略回报混合型证券投资基金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018714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平安新鑫优选混合型证券投资基金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013482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平安合轩1年定期开放债券型发起式证券投资基金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159556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平安中证2000增强策略交易型开放式指数证券投资基金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020262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平安鑫惠90天持有期债券型证券投资基金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019952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平安价值远见混合型证券投资基金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159593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平安中证A50交易型开放式指数证券投资基金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016783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平安养老目标日期2050三年持有期混合型发起式基金中基金（FOF）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021046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平安港股通红利精选混合型发起式证券投资基金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020456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平安上证红利低波动指数型证券投资基金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021183</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平安中证A50交易型开放式指数证券投资基金联接基金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159306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平安中证汽车零部件主题交易型开放式指数证券投资基金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159322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平安中证沪深港黄金产业股票交易型开放式指数证券投资基金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021507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平安CFETS0-3年期政策性金融债指数证券投资基金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021675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平安双季鑫6个月持有期债券型证券投资基金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021576</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平安研究智选混合型证券投资基金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020301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平安惠嘉纯债债券型证券投资基金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022074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平安元嘉90天持有期债券型基金中基金（FOF）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530280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平安上证180交易型开放式指数证券投资基金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022682</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平安盈弘6个月持有期债券型基金中基金（FOF）</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022731</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平安中证汽车零部件主题交易型开放式指数证券投资基金发起式联接基金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023547</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平安上证180交易型开放式指数证券投资基金联接基金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159215</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平安中证A500交易型开放式指数证券投资基金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023360</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平安元裕90天持有期债券型证券投资基金</w:t>
            </w:r>
          </w:p>
        </w:tc>
      </w:tr>
      <w:tr w:rsidR="00B5518B" w:rsidRPr="00B5518B" w:rsidTr="00B5518B">
        <w:trPr>
          <w:trHeight w:val="402"/>
        </w:trPr>
        <w:tc>
          <w:tcPr>
            <w:tcW w:w="1555"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023384</w:t>
            </w:r>
          </w:p>
        </w:tc>
        <w:tc>
          <w:tcPr>
            <w:tcW w:w="7229" w:type="dxa"/>
            <w:noWrap/>
            <w:hideMark/>
          </w:tcPr>
          <w:p w:rsidR="00B5518B" w:rsidRPr="00B5518B" w:rsidRDefault="00B5518B" w:rsidP="00B5518B">
            <w:pPr>
              <w:spacing w:line="540" w:lineRule="exact"/>
              <w:rPr>
                <w:rFonts w:ascii="仿宋" w:eastAsia="仿宋" w:hAnsi="仿宋"/>
                <w:color w:val="000000" w:themeColor="text1"/>
                <w:sz w:val="28"/>
                <w:szCs w:val="24"/>
              </w:rPr>
            </w:pPr>
            <w:r w:rsidRPr="00B5518B">
              <w:rPr>
                <w:rFonts w:ascii="仿宋" w:eastAsia="仿宋" w:hAnsi="仿宋" w:hint="eastAsia"/>
                <w:color w:val="000000" w:themeColor="text1"/>
                <w:sz w:val="28"/>
                <w:szCs w:val="24"/>
              </w:rPr>
              <w:t>平安中证人工智能主题交易型开放式指数证券投资基金发起式联接基金</w:t>
            </w:r>
          </w:p>
        </w:tc>
      </w:tr>
    </w:tbl>
    <w:p w:rsidR="00E90DCC" w:rsidRPr="00B5518B" w:rsidRDefault="00E90DCC" w:rsidP="00B5518B">
      <w:pPr>
        <w:spacing w:line="540" w:lineRule="exact"/>
        <w:rPr>
          <w:rFonts w:ascii="仿宋" w:eastAsia="仿宋" w:hAnsi="仿宋"/>
          <w:color w:val="000000" w:themeColor="text1"/>
          <w:sz w:val="32"/>
          <w:szCs w:val="32"/>
        </w:rPr>
      </w:pPr>
    </w:p>
    <w:p w:rsidR="00E90DCC" w:rsidRDefault="004A7AFA">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第2季度报告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于2025年7</w:t>
      </w:r>
      <w:r>
        <w:rPr>
          <w:rFonts w:ascii="仿宋" w:eastAsia="仿宋" w:hAnsi="仿宋"/>
          <w:color w:val="000000" w:themeColor="text1"/>
          <w:sz w:val="32"/>
          <w:szCs w:val="32"/>
        </w:rPr>
        <w:t>月</w:t>
      </w:r>
      <w:r>
        <w:rPr>
          <w:rFonts w:ascii="仿宋" w:eastAsia="仿宋" w:hAnsi="仿宋" w:hint="eastAsia"/>
          <w:color w:val="000000" w:themeColor="text1"/>
          <w:sz w:val="32"/>
          <w:szCs w:val="32"/>
        </w:rPr>
        <w:t>18</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6"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E90DCC" w:rsidRDefault="004A7AF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E90DCC" w:rsidRDefault="004A7AF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2025年7</w:t>
      </w:r>
      <w:r>
        <w:rPr>
          <w:rFonts w:ascii="仿宋" w:eastAsia="仿宋" w:hAnsi="仿宋"/>
          <w:color w:val="000000" w:themeColor="text1"/>
          <w:sz w:val="32"/>
          <w:szCs w:val="32"/>
        </w:rPr>
        <w:t>月</w:t>
      </w:r>
      <w:r>
        <w:rPr>
          <w:rFonts w:ascii="仿宋" w:eastAsia="仿宋" w:hAnsi="仿宋" w:hint="eastAsia"/>
          <w:color w:val="000000" w:themeColor="text1"/>
          <w:sz w:val="32"/>
          <w:szCs w:val="32"/>
        </w:rPr>
        <w:t>18</w:t>
      </w:r>
      <w:r>
        <w:rPr>
          <w:rFonts w:ascii="仿宋" w:eastAsia="仿宋" w:hAnsi="仿宋"/>
          <w:color w:val="000000" w:themeColor="text1"/>
          <w:sz w:val="32"/>
          <w:szCs w:val="32"/>
        </w:rPr>
        <w:t>日</w:t>
      </w:r>
    </w:p>
    <w:sectPr w:rsidR="00E90DCC" w:rsidSect="00473E7F">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E49" w:rsidRDefault="004A7AFA">
      <w:r>
        <w:separator/>
      </w:r>
    </w:p>
  </w:endnote>
  <w:endnote w:type="continuationSeparator" w:id="0">
    <w:p w:rsidR="008A1E49" w:rsidRDefault="004A7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90DCC" w:rsidRDefault="00473E7F">
        <w:pPr>
          <w:pStyle w:val="a5"/>
          <w:jc w:val="center"/>
        </w:pPr>
        <w:r>
          <w:fldChar w:fldCharType="begin"/>
        </w:r>
        <w:r w:rsidR="004A7AFA">
          <w:instrText>PAGE   \* MERGEFORMAT</w:instrText>
        </w:r>
        <w:r>
          <w:fldChar w:fldCharType="separate"/>
        </w:r>
        <w:r w:rsidR="00775368" w:rsidRPr="00775368">
          <w:rPr>
            <w:noProof/>
            <w:lang w:val="zh-CN"/>
          </w:rPr>
          <w:t>2</w:t>
        </w:r>
        <w:r>
          <w:fldChar w:fldCharType="end"/>
        </w:r>
      </w:p>
    </w:sdtContent>
  </w:sdt>
  <w:p w:rsidR="00E90DCC" w:rsidRDefault="00E90D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90DCC" w:rsidRDefault="00473E7F">
        <w:pPr>
          <w:pStyle w:val="a5"/>
          <w:jc w:val="center"/>
        </w:pPr>
        <w:r>
          <w:fldChar w:fldCharType="begin"/>
        </w:r>
        <w:r w:rsidR="004A7AFA">
          <w:instrText>PAGE   \* MERGEFORMAT</w:instrText>
        </w:r>
        <w:r>
          <w:fldChar w:fldCharType="separate"/>
        </w:r>
        <w:r w:rsidR="00775368" w:rsidRPr="00775368">
          <w:rPr>
            <w:noProof/>
            <w:lang w:val="zh-CN"/>
          </w:rPr>
          <w:t>1</w:t>
        </w:r>
        <w:r>
          <w:fldChar w:fldCharType="end"/>
        </w:r>
      </w:p>
    </w:sdtContent>
  </w:sdt>
  <w:p w:rsidR="00E90DCC" w:rsidRDefault="00E90D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E49" w:rsidRDefault="004A7AFA">
      <w:r>
        <w:separator/>
      </w:r>
    </w:p>
  </w:footnote>
  <w:footnote w:type="continuationSeparator" w:id="0">
    <w:p w:rsidR="008A1E49" w:rsidRDefault="004A7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4FFD"/>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2820"/>
    <w:rsid w:val="003C3CB5"/>
    <w:rsid w:val="003C5A1A"/>
    <w:rsid w:val="003D0424"/>
    <w:rsid w:val="003D32D7"/>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3E7F"/>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368"/>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60CB"/>
    <w:rsid w:val="00801AAB"/>
    <w:rsid w:val="00804E1F"/>
    <w:rsid w:val="0080773A"/>
    <w:rsid w:val="0081788D"/>
    <w:rsid w:val="00825398"/>
    <w:rsid w:val="008263AE"/>
    <w:rsid w:val="008318C0"/>
    <w:rsid w:val="00831A29"/>
    <w:rsid w:val="00832B61"/>
    <w:rsid w:val="00835A88"/>
    <w:rsid w:val="00842DB1"/>
    <w:rsid w:val="00847A69"/>
    <w:rsid w:val="00856F08"/>
    <w:rsid w:val="008619E1"/>
    <w:rsid w:val="00866E5A"/>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252EE"/>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0CF3"/>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58E"/>
    <w:rsid w:val="00FE0C5A"/>
    <w:rsid w:val="00FE13A2"/>
    <w:rsid w:val="24D77647"/>
    <w:rsid w:val="2AFE0E90"/>
    <w:rsid w:val="765B77AD"/>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E7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73E7F"/>
    <w:pPr>
      <w:jc w:val="left"/>
    </w:pPr>
  </w:style>
  <w:style w:type="paragraph" w:styleId="a4">
    <w:name w:val="Balloon Text"/>
    <w:basedOn w:val="a"/>
    <w:link w:val="Char0"/>
    <w:uiPriority w:val="99"/>
    <w:semiHidden/>
    <w:unhideWhenUsed/>
    <w:qFormat/>
    <w:rsid w:val="00473E7F"/>
    <w:rPr>
      <w:sz w:val="18"/>
      <w:szCs w:val="18"/>
    </w:rPr>
  </w:style>
  <w:style w:type="paragraph" w:styleId="a5">
    <w:name w:val="footer"/>
    <w:basedOn w:val="a"/>
    <w:link w:val="Char1"/>
    <w:uiPriority w:val="99"/>
    <w:unhideWhenUsed/>
    <w:qFormat/>
    <w:rsid w:val="00473E7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73E7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473E7F"/>
    <w:pPr>
      <w:snapToGrid w:val="0"/>
      <w:jc w:val="left"/>
    </w:pPr>
    <w:rPr>
      <w:sz w:val="18"/>
      <w:szCs w:val="18"/>
    </w:rPr>
  </w:style>
  <w:style w:type="paragraph" w:styleId="a8">
    <w:name w:val="annotation subject"/>
    <w:basedOn w:val="a3"/>
    <w:next w:val="a3"/>
    <w:link w:val="Char4"/>
    <w:uiPriority w:val="99"/>
    <w:semiHidden/>
    <w:unhideWhenUsed/>
    <w:qFormat/>
    <w:rsid w:val="00473E7F"/>
    <w:rPr>
      <w:b/>
      <w:bCs/>
    </w:rPr>
  </w:style>
  <w:style w:type="table" w:styleId="a9">
    <w:name w:val="Table Grid"/>
    <w:basedOn w:val="a1"/>
    <w:uiPriority w:val="59"/>
    <w:qFormat/>
    <w:rsid w:val="00473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473E7F"/>
    <w:rPr>
      <w:color w:val="0000FF" w:themeColor="hyperlink"/>
      <w:u w:val="single"/>
    </w:rPr>
  </w:style>
  <w:style w:type="character" w:styleId="ab">
    <w:name w:val="annotation reference"/>
    <w:basedOn w:val="a0"/>
    <w:uiPriority w:val="99"/>
    <w:semiHidden/>
    <w:unhideWhenUsed/>
    <w:qFormat/>
    <w:rsid w:val="00473E7F"/>
    <w:rPr>
      <w:sz w:val="21"/>
      <w:szCs w:val="21"/>
    </w:rPr>
  </w:style>
  <w:style w:type="character" w:styleId="ac">
    <w:name w:val="footnote reference"/>
    <w:basedOn w:val="a0"/>
    <w:uiPriority w:val="99"/>
    <w:semiHidden/>
    <w:unhideWhenUsed/>
    <w:qFormat/>
    <w:rsid w:val="00473E7F"/>
    <w:rPr>
      <w:vertAlign w:val="superscript"/>
    </w:rPr>
  </w:style>
  <w:style w:type="character" w:customStyle="1" w:styleId="Char2">
    <w:name w:val="页眉 Char"/>
    <w:basedOn w:val="a0"/>
    <w:link w:val="a6"/>
    <w:uiPriority w:val="99"/>
    <w:qFormat/>
    <w:rsid w:val="00473E7F"/>
    <w:rPr>
      <w:sz w:val="18"/>
      <w:szCs w:val="18"/>
    </w:rPr>
  </w:style>
  <w:style w:type="character" w:customStyle="1" w:styleId="Char1">
    <w:name w:val="页脚 Char"/>
    <w:basedOn w:val="a0"/>
    <w:link w:val="a5"/>
    <w:uiPriority w:val="99"/>
    <w:qFormat/>
    <w:rsid w:val="00473E7F"/>
    <w:rPr>
      <w:sz w:val="18"/>
      <w:szCs w:val="18"/>
    </w:rPr>
  </w:style>
  <w:style w:type="paragraph" w:styleId="ad">
    <w:name w:val="List Paragraph"/>
    <w:basedOn w:val="a"/>
    <w:uiPriority w:val="34"/>
    <w:qFormat/>
    <w:rsid w:val="00473E7F"/>
    <w:pPr>
      <w:ind w:firstLineChars="200" w:firstLine="420"/>
    </w:pPr>
  </w:style>
  <w:style w:type="character" w:customStyle="1" w:styleId="Char0">
    <w:name w:val="批注框文本 Char"/>
    <w:basedOn w:val="a0"/>
    <w:link w:val="a4"/>
    <w:uiPriority w:val="99"/>
    <w:semiHidden/>
    <w:qFormat/>
    <w:rsid w:val="00473E7F"/>
    <w:rPr>
      <w:sz w:val="18"/>
      <w:szCs w:val="18"/>
    </w:rPr>
  </w:style>
  <w:style w:type="character" w:customStyle="1" w:styleId="Char">
    <w:name w:val="批注文字 Char"/>
    <w:basedOn w:val="a0"/>
    <w:link w:val="a3"/>
    <w:uiPriority w:val="99"/>
    <w:semiHidden/>
    <w:qFormat/>
    <w:rsid w:val="00473E7F"/>
  </w:style>
  <w:style w:type="character" w:customStyle="1" w:styleId="Char4">
    <w:name w:val="批注主题 Char"/>
    <w:basedOn w:val="Char"/>
    <w:link w:val="a8"/>
    <w:uiPriority w:val="99"/>
    <w:semiHidden/>
    <w:qFormat/>
    <w:rsid w:val="00473E7F"/>
    <w:rPr>
      <w:b/>
      <w:bCs/>
    </w:rPr>
  </w:style>
  <w:style w:type="character" w:customStyle="1" w:styleId="Char3">
    <w:name w:val="脚注文本 Char"/>
    <w:basedOn w:val="a0"/>
    <w:link w:val="a7"/>
    <w:uiPriority w:val="99"/>
    <w:semiHidden/>
    <w:qFormat/>
    <w:rsid w:val="00473E7F"/>
    <w:rPr>
      <w:sz w:val="18"/>
      <w:szCs w:val="18"/>
    </w:rPr>
  </w:style>
  <w:style w:type="paragraph" w:customStyle="1" w:styleId="1">
    <w:name w:val="修订1"/>
    <w:hidden/>
    <w:uiPriority w:val="99"/>
    <w:semiHidden/>
    <w:qFormat/>
    <w:rsid w:val="00473E7F"/>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339696966">
      <w:bodyDiv w:val="1"/>
      <w:marLeft w:val="0"/>
      <w:marRight w:val="0"/>
      <w:marTop w:val="0"/>
      <w:marBottom w:val="0"/>
      <w:divBdr>
        <w:top w:val="none" w:sz="0" w:space="0" w:color="auto"/>
        <w:left w:val="none" w:sz="0" w:space="0" w:color="auto"/>
        <w:bottom w:val="none" w:sz="0" w:space="0" w:color="auto"/>
        <w:right w:val="none" w:sz="0" w:space="0" w:color="auto"/>
      </w:divBdr>
    </w:div>
    <w:div w:id="100578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3428</Characters>
  <Application>Microsoft Office Word</Application>
  <DocSecurity>4</DocSecurity>
  <Lines>28</Lines>
  <Paragraphs>8</Paragraphs>
  <ScaleCrop>false</ScaleCrop>
  <Company>PAIG</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2025-07-17T16:02:00Z</dcterms:created>
  <dcterms:modified xsi:type="dcterms:W3CDTF">2025-07-17T16:02:00Z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EE25D9898D7C40F494368A1D3434E050</vt:lpwstr>
  </property>
</Properties>
</file>