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3_0_0002_a2_fm1"/>
      <w:bookmarkStart w:id="1" w:name="t_3_0_table"/>
      <w:bookmarkEnd w:id="0"/>
      <w:bookmarkEnd w:id="1"/>
      <w:r>
        <w:rPr>
          <w:rFonts w:ascii="宋体" w:hAnsi="宋体" w:hint="eastAsia"/>
          <w:b/>
          <w:sz w:val="48"/>
          <w:szCs w:val="48"/>
        </w:rPr>
        <w:t>关于暂停安信稳健汇利一年持有期混合型证券投资基金</w:t>
      </w:r>
      <w:r>
        <w:rPr>
          <w:rFonts w:ascii="宋体" w:hAnsi="宋体" w:hint="eastAsia"/>
          <w:b/>
          <w:sz w:val="48"/>
          <w:szCs w:val="48"/>
        </w:rPr>
        <w:t>A</w:t>
      </w:r>
      <w:r>
        <w:rPr>
          <w:rFonts w:ascii="宋体" w:hAnsi="宋体" w:hint="eastAsia"/>
          <w:b/>
          <w:sz w:val="48"/>
          <w:szCs w:val="48"/>
        </w:rPr>
        <w:t>类份额</w:t>
      </w:r>
      <w:r>
        <w:rPr>
          <w:rFonts w:ascii="宋体" w:hAnsi="宋体" w:hint="eastAsia"/>
          <w:b/>
          <w:sz w:val="48"/>
          <w:szCs w:val="48"/>
        </w:rPr>
        <w:t>大额申购、大额转换转入及大额定期定额投资业务的公告</w:t>
      </w:r>
    </w:p>
    <w:p w:rsidR="00000000" w:rsidRDefault="00C130C1">
      <w:pPr>
        <w:jc w:val="center"/>
        <w:rPr>
          <w:rFonts w:ascii="宋体" w:hAnsi="宋体" w:hint="eastAsia"/>
          <w:sz w:val="30"/>
        </w:rPr>
      </w:pPr>
    </w:p>
    <w:p w:rsidR="00000000" w:rsidRDefault="00C130C1">
      <w:pPr>
        <w:jc w:val="center"/>
        <w:rPr>
          <w:rFonts w:ascii="宋体" w:hAnsi="宋体" w:hint="eastAsia"/>
          <w:sz w:val="30"/>
        </w:rPr>
      </w:pPr>
    </w:p>
    <w:p w:rsidR="00000000" w:rsidRDefault="00C130C1">
      <w:pPr>
        <w:jc w:val="center"/>
        <w:rPr>
          <w:rFonts w:ascii="宋体" w:hAnsi="宋体" w:hint="eastAsia"/>
          <w:sz w:val="30"/>
        </w:rPr>
      </w:pPr>
    </w:p>
    <w:p w:rsidR="00000000" w:rsidRDefault="00C130C1">
      <w:pPr>
        <w:jc w:val="center"/>
        <w:rPr>
          <w:rFonts w:ascii="宋体" w:hAnsi="宋体" w:hint="eastAsia"/>
          <w:sz w:val="30"/>
        </w:rPr>
      </w:pPr>
    </w:p>
    <w:p w:rsidR="00000000" w:rsidRDefault="00C130C1">
      <w:pPr>
        <w:jc w:val="center"/>
        <w:rPr>
          <w:rFonts w:ascii="宋体" w:hAnsi="宋体" w:hint="eastAsia"/>
          <w:sz w:val="30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>
        <w:rPr>
          <w:rFonts w:ascii="宋体" w:hAnsi="宋体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/>
          <w:b/>
          <w:sz w:val="28"/>
          <w:szCs w:val="28"/>
        </w:rPr>
        <w:t>日</w:t>
      </w: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rPr>
          <w:rFonts w:hint="eastAsia"/>
          <w:sz w:val="24"/>
        </w:rPr>
      </w:pPr>
    </w:p>
    <w:p w:rsidR="00000000" w:rsidRDefault="00C130C1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3" w:name="t_3_1_1_table"/>
      <w:bookmarkEnd w:id="3"/>
      <w:r>
        <w:rPr>
          <w:rFonts w:ascii="宋体" w:eastAsia="宋体" w:hAnsi="宋体" w:hint="eastAsia"/>
          <w:sz w:val="24"/>
        </w:rPr>
        <w:lastRenderedPageBreak/>
        <w:t xml:space="preserve"> </w:t>
      </w:r>
      <w:bookmarkStart w:id="4" w:name="m01"/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407"/>
        <w:gridCol w:w="1738"/>
        <w:gridCol w:w="1695"/>
      </w:tblGrid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5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6" w:name="t_3_1_1_0009_a1_fm1"/>
            <w:bookmarkEnd w:id="6"/>
            <w:r>
              <w:rPr>
                <w:rFonts w:ascii="宋体" w:hAnsi="宋体" w:hint="eastAsia"/>
                <w:szCs w:val="21"/>
              </w:rPr>
              <w:t>安信稳健汇利一年持有期混合型证券投资基金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7" w:name="t_3_1_1_0011_a1_fm1"/>
            <w:bookmarkEnd w:id="7"/>
            <w:r>
              <w:rPr>
                <w:rFonts w:ascii="宋体" w:hAnsi="宋体" w:hint="eastAsia"/>
                <w:szCs w:val="21"/>
              </w:rPr>
              <w:t>安信稳健汇利一年持有混合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8" w:name="t_1_1_0012_a1_fm1"/>
            <w:bookmarkEnd w:id="8"/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12609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9" w:name="t_3_1_1_0186_a1_fm1"/>
            <w:bookmarkEnd w:id="9"/>
            <w:r>
              <w:rPr>
                <w:rFonts w:ascii="宋体" w:hAnsi="宋体" w:hint="eastAsia"/>
                <w:szCs w:val="21"/>
              </w:rPr>
              <w:t>安信基金管理有限责任公司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0" w:name="t_3_1_1_2631_a1_fm1"/>
            <w:bookmarkEnd w:id="10"/>
            <w:r>
              <w:rPr>
                <w:rFonts w:ascii="宋体" w:hAnsi="宋体" w:hint="eastAsia"/>
                <w:szCs w:val="21"/>
              </w:rPr>
              <w:t>《中华人民共和国证券投资基金法》、《公开募集证券投资基金运作管理办法》、《公开募集证券投资基金信息披露管理办法》等</w:t>
            </w:r>
            <w:r>
              <w:rPr>
                <w:rFonts w:ascii="宋体" w:hAnsi="宋体" w:hint="eastAsia"/>
                <w:szCs w:val="21"/>
              </w:rPr>
              <w:t>法律法规及《安信稳健汇利一年持有期混合型证券投资基金基金合同》《安信稳健汇利一年持有期混合型证券投资基金招募说明书》及相关公告。</w:t>
            </w:r>
          </w:p>
        </w:tc>
      </w:tr>
      <w:tr w:rsidR="00000000">
        <w:tc>
          <w:tcPr>
            <w:tcW w:w="1980" w:type="dxa"/>
            <w:vMerge w:val="restart"/>
            <w:vAlign w:val="center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1" w:name="t_3_1_1_2797_a1_fm1"/>
            <w:bookmarkEnd w:id="11"/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00000">
        <w:tc>
          <w:tcPr>
            <w:tcW w:w="1980" w:type="dxa"/>
            <w:vMerge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2" w:name="t_3_1_1_2798_a1_fm1"/>
            <w:bookmarkEnd w:id="12"/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00000">
        <w:tc>
          <w:tcPr>
            <w:tcW w:w="1980" w:type="dxa"/>
            <w:vMerge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3" w:name="t_3_1_1_2800_a1_fm2210"/>
            <w:bookmarkEnd w:id="13"/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00000">
        <w:tc>
          <w:tcPr>
            <w:tcW w:w="1980" w:type="dxa"/>
            <w:vMerge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限制申购金额（单位：人民币元）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jc w:val="right"/>
              <w:rPr>
                <w:rFonts w:ascii="宋体" w:hAnsi="宋体" w:hint="eastAsia"/>
                <w:szCs w:val="21"/>
              </w:rPr>
            </w:pPr>
            <w:bookmarkStart w:id="14" w:name="t_3_1_1_2801_a1_fm2210"/>
            <w:bookmarkEnd w:id="14"/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,000.00</w:t>
            </w:r>
          </w:p>
        </w:tc>
      </w:tr>
      <w:tr w:rsidR="00000000">
        <w:tc>
          <w:tcPr>
            <w:tcW w:w="1980" w:type="dxa"/>
            <w:vMerge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5" w:name="t_3_1_2_01_2803_a1_fm1"/>
            <w:bookmarkEnd w:id="15"/>
            <w:r>
              <w:rPr>
                <w:rFonts w:ascii="宋体" w:hAnsi="宋体" w:hint="eastAsia"/>
                <w:szCs w:val="21"/>
              </w:rPr>
              <w:t>限制转换转入金额（单位：人民币元）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jc w:val="right"/>
              <w:rPr>
                <w:rFonts w:ascii="宋体" w:hAnsi="宋体" w:hint="eastAsia"/>
                <w:szCs w:val="21"/>
              </w:rPr>
            </w:pPr>
            <w:bookmarkStart w:id="16" w:name="t_3_1_2_02_2804_a1_fm2210"/>
            <w:bookmarkEnd w:id="16"/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,000.00</w:t>
            </w:r>
          </w:p>
        </w:tc>
      </w:tr>
      <w:tr w:rsidR="00000000">
        <w:tc>
          <w:tcPr>
            <w:tcW w:w="1980" w:type="dxa"/>
            <w:vMerge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定期定额</w:t>
            </w:r>
            <w:r>
              <w:rPr>
                <w:rFonts w:ascii="宋体" w:hAnsi="宋体" w:hint="eastAsia"/>
                <w:szCs w:val="21"/>
              </w:rPr>
              <w:t>投资</w:t>
            </w:r>
            <w:r>
              <w:rPr>
                <w:rFonts w:ascii="宋体" w:hAnsi="宋体"/>
                <w:szCs w:val="21"/>
              </w:rPr>
              <w:t>金额（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/>
                <w:szCs w:val="21"/>
              </w:rPr>
              <w:t>元）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,000.00</w:t>
            </w:r>
          </w:p>
        </w:tc>
      </w:tr>
      <w:tr w:rsidR="00000000">
        <w:tc>
          <w:tcPr>
            <w:tcW w:w="1980" w:type="dxa"/>
            <w:vMerge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407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7" w:name="t_3_1_3_fj_table"/>
            <w:bookmarkEnd w:id="17"/>
            <w:r>
              <w:rPr>
                <w:rFonts w:ascii="宋体" w:hAnsi="宋体" w:hint="eastAsia"/>
                <w:szCs w:val="21"/>
              </w:rPr>
              <w:t>暂停大额申购、大额</w:t>
            </w:r>
            <w:r>
              <w:rPr>
                <w:rFonts w:ascii="宋体" w:hAnsi="宋体" w:hint="eastAsia"/>
                <w:szCs w:val="21"/>
              </w:rPr>
              <w:t>转换转入、大额定期定额投资的原因说明</w:t>
            </w:r>
          </w:p>
        </w:tc>
        <w:tc>
          <w:tcPr>
            <w:tcW w:w="3433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8" w:name="t_3_1_3_fj_2805_a1_fm1"/>
            <w:bookmarkEnd w:id="18"/>
            <w:r>
              <w:rPr>
                <w:rFonts w:ascii="宋体" w:hAnsi="宋体" w:hint="eastAsia"/>
                <w:szCs w:val="21"/>
              </w:rPr>
              <w:t>保护基金份额持有人的利益。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738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19" w:name="t_3_1_3_fj_0011A_a1_fm1"/>
            <w:bookmarkEnd w:id="19"/>
            <w:r>
              <w:rPr>
                <w:rFonts w:ascii="宋体" w:hAnsi="宋体" w:hint="eastAsia"/>
                <w:szCs w:val="21"/>
              </w:rPr>
              <w:t>安信稳健汇利一年持有混合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695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20" w:name="t_3_1_3_fj_0011C_a1_fm1"/>
            <w:bookmarkStart w:id="21" w:name="t_3_1_3_fj_0011B_a1_fm1"/>
            <w:bookmarkEnd w:id="20"/>
            <w:bookmarkEnd w:id="21"/>
            <w:r>
              <w:rPr>
                <w:rFonts w:ascii="宋体" w:hAnsi="宋体" w:hint="eastAsia"/>
                <w:szCs w:val="21"/>
              </w:rPr>
              <w:t>安信稳健汇利一年持有混合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738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22" w:name="t_3_1_3_fj_0012A_a1_fm1"/>
            <w:bookmarkEnd w:id="22"/>
            <w:r>
              <w:rPr>
                <w:rFonts w:ascii="宋体" w:hAnsi="宋体" w:hint="eastAsia"/>
                <w:szCs w:val="21"/>
              </w:rPr>
              <w:t>012609</w:t>
            </w:r>
          </w:p>
        </w:tc>
        <w:tc>
          <w:tcPr>
            <w:tcW w:w="1695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012610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该分级基金是否暂停大额申购、大额转换转入、大额定期定额投资</w:t>
            </w:r>
          </w:p>
        </w:tc>
        <w:tc>
          <w:tcPr>
            <w:tcW w:w="1738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23" w:name="t_3_1_3_fj_2810A_a1_fm1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5" w:type="dxa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24" w:name="t_3_1_3_fj_2810C_a1_fm1"/>
            <w:bookmarkStart w:id="25" w:name="t_3_1_3_fj_2810B_a1_fm1"/>
            <w:bookmarkEnd w:id="24"/>
            <w:bookmarkEnd w:id="25"/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下属分级基金的限制申购金额（单位：人民币元）</w:t>
            </w:r>
          </w:p>
        </w:tc>
        <w:tc>
          <w:tcPr>
            <w:tcW w:w="1738" w:type="dxa"/>
          </w:tcPr>
          <w:p w:rsidR="00000000" w:rsidRDefault="00C130C1">
            <w:pPr>
              <w:jc w:val="right"/>
              <w:rPr>
                <w:rFonts w:ascii="宋体" w:hAnsi="宋体" w:hint="eastAsia"/>
                <w:szCs w:val="21"/>
              </w:rPr>
            </w:pPr>
            <w:bookmarkStart w:id="26" w:name="t_3_1_3_fj_2800A_a1_fm2210"/>
            <w:bookmarkEnd w:id="26"/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,000.00</w:t>
            </w:r>
          </w:p>
        </w:tc>
        <w:tc>
          <w:tcPr>
            <w:tcW w:w="1695" w:type="dxa"/>
          </w:tcPr>
          <w:p w:rsidR="00000000" w:rsidRDefault="00C130C1">
            <w:pPr>
              <w:jc w:val="right"/>
              <w:rPr>
                <w:rFonts w:ascii="宋体" w:hAnsi="宋体" w:hint="eastAsia"/>
                <w:szCs w:val="21"/>
              </w:rPr>
            </w:pPr>
            <w:bookmarkStart w:id="27" w:name="t_3_1_3_fj_2800C_a1_fm2210"/>
            <w:bookmarkStart w:id="28" w:name="t_3_1_3_fj_2800B_a1_fm2210"/>
            <w:bookmarkEnd w:id="27"/>
            <w:bookmarkEnd w:id="28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bookmarkStart w:id="29" w:name="t_3_1_4_fj_table"/>
            <w:bookmarkEnd w:id="29"/>
            <w:r>
              <w:rPr>
                <w:rFonts w:ascii="宋体" w:hAnsi="宋体" w:hint="eastAsia"/>
                <w:szCs w:val="21"/>
              </w:rPr>
              <w:t>下属分级基金的限制转换转入金额（单位：人民币元）</w:t>
            </w:r>
          </w:p>
        </w:tc>
        <w:tc>
          <w:tcPr>
            <w:tcW w:w="1738" w:type="dxa"/>
          </w:tcPr>
          <w:p w:rsidR="00000000" w:rsidRDefault="00C130C1">
            <w:pPr>
              <w:jc w:val="right"/>
              <w:rPr>
                <w:rFonts w:ascii="宋体" w:hAnsi="宋体" w:hint="eastAsia"/>
                <w:szCs w:val="21"/>
              </w:rPr>
            </w:pPr>
            <w:bookmarkStart w:id="30" w:name="t_3_1_3_fj_2801A_a1_fm2210"/>
            <w:bookmarkEnd w:id="30"/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,000.00</w:t>
            </w:r>
          </w:p>
        </w:tc>
        <w:tc>
          <w:tcPr>
            <w:tcW w:w="1695" w:type="dxa"/>
          </w:tcPr>
          <w:p w:rsidR="00000000" w:rsidRDefault="00C130C1">
            <w:pPr>
              <w:jc w:val="right"/>
              <w:rPr>
                <w:rFonts w:ascii="宋体" w:hAnsi="宋体" w:hint="eastAsia"/>
                <w:szCs w:val="21"/>
              </w:rPr>
            </w:pPr>
            <w:bookmarkStart w:id="31" w:name="t_3_1_3_fj_2801B_a1_fm2210"/>
            <w:bookmarkStart w:id="32" w:name="t_3_1_3_fj_2801C_a1_fm2210"/>
            <w:bookmarkEnd w:id="31"/>
            <w:bookmarkEnd w:id="32"/>
            <w:r>
              <w:rPr>
                <w:rFonts w:ascii="宋体" w:hAnsi="宋体" w:hint="eastAsia"/>
                <w:szCs w:val="21"/>
              </w:rPr>
              <w:t>-</w:t>
            </w:r>
          </w:p>
        </w:tc>
        <w:bookmarkStart w:id="33" w:name="t_3_1_4_fj_2803_a1_fm1"/>
      </w:tr>
      <w:tr w:rsidR="00000000">
        <w:tc>
          <w:tcPr>
            <w:tcW w:w="5387" w:type="dxa"/>
            <w:gridSpan w:val="2"/>
          </w:tcPr>
          <w:p w:rsidR="00000000" w:rsidRDefault="00C130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下属分级基金的限制定期定额</w:t>
            </w:r>
            <w:r>
              <w:rPr>
                <w:rFonts w:ascii="宋体" w:hAnsi="宋体" w:hint="eastAsia"/>
                <w:szCs w:val="21"/>
              </w:rPr>
              <w:t>投资</w:t>
            </w:r>
            <w:r>
              <w:rPr>
                <w:rFonts w:ascii="宋体" w:hAnsi="宋体"/>
                <w:szCs w:val="21"/>
              </w:rPr>
              <w:t>金额（单位：</w:t>
            </w:r>
            <w:r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/>
                <w:szCs w:val="21"/>
              </w:rPr>
              <w:t>元）</w:t>
            </w:r>
          </w:p>
        </w:tc>
        <w:tc>
          <w:tcPr>
            <w:tcW w:w="1738" w:type="dxa"/>
          </w:tcPr>
          <w:p w:rsidR="00000000" w:rsidRDefault="00C130C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,000.00</w:t>
            </w:r>
          </w:p>
        </w:tc>
        <w:tc>
          <w:tcPr>
            <w:tcW w:w="1695" w:type="dxa"/>
          </w:tcPr>
          <w:p w:rsidR="00000000" w:rsidRDefault="00C130C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</w:tbl>
    <w:p w:rsidR="00000000" w:rsidRDefault="00C130C1">
      <w:pPr>
        <w:spacing w:line="360" w:lineRule="auto"/>
        <w:jc w:val="left"/>
        <w:rPr>
          <w:rFonts w:ascii="宋体" w:hAnsi="宋体" w:hint="eastAsia"/>
          <w:szCs w:val="21"/>
        </w:rPr>
      </w:pPr>
      <w:bookmarkStart w:id="34" w:name="t_3_1_4_fj_2645_a1_fm1"/>
      <w:bookmarkEnd w:id="5"/>
      <w:bookmarkEnd w:id="33"/>
      <w:r>
        <w:rPr>
          <w:rFonts w:ascii="宋体" w:hAnsi="宋体" w:hint="eastAsia"/>
          <w:szCs w:val="21"/>
        </w:rPr>
        <w:t>注：</w:t>
      </w:r>
      <w:bookmarkEnd w:id="34"/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）安信稳</w:t>
      </w:r>
      <w:r>
        <w:rPr>
          <w:rFonts w:ascii="宋体" w:hAnsi="宋体" w:hint="eastAsia"/>
          <w:szCs w:val="21"/>
        </w:rPr>
        <w:t>健汇利一年持有期混合型证券投资基金</w:t>
      </w:r>
      <w:r>
        <w:rPr>
          <w:rFonts w:ascii="宋体" w:hAnsi="宋体"/>
          <w:szCs w:val="21"/>
        </w:rPr>
        <w:t>（以下简称</w:t>
      </w:r>
      <w:r>
        <w:rPr>
          <w:rFonts w:ascii="宋体" w:hAnsi="宋体"/>
          <w:szCs w:val="21"/>
        </w:rPr>
        <w:t>“</w:t>
      </w:r>
      <w:r>
        <w:rPr>
          <w:rFonts w:ascii="宋体" w:hAnsi="宋体"/>
          <w:szCs w:val="21"/>
        </w:rPr>
        <w:t>本基金</w:t>
      </w:r>
      <w:r>
        <w:rPr>
          <w:rFonts w:ascii="宋体" w:hAnsi="宋体"/>
          <w:szCs w:val="21"/>
        </w:rPr>
        <w:t>”</w:t>
      </w:r>
      <w:r>
        <w:rPr>
          <w:rFonts w:ascii="宋体" w:hAnsi="宋体"/>
          <w:szCs w:val="21"/>
        </w:rPr>
        <w:t>）限制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类份额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、大额转换转入及大额定期定额投资的</w:t>
      </w:r>
      <w:r>
        <w:rPr>
          <w:rFonts w:ascii="宋体" w:hAnsi="宋体"/>
          <w:szCs w:val="21"/>
        </w:rPr>
        <w:t>金额为</w:t>
      </w:r>
      <w:r>
        <w:rPr>
          <w:rFonts w:ascii="宋体" w:hAnsi="宋体" w:hint="eastAsia"/>
          <w:szCs w:val="21"/>
        </w:rPr>
        <w:t>不超过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/>
          <w:szCs w:val="21"/>
        </w:rPr>
        <w:t>元（含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/>
          <w:szCs w:val="21"/>
        </w:rPr>
        <w:t>元），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类份额</w:t>
      </w:r>
      <w:r>
        <w:rPr>
          <w:rFonts w:ascii="宋体" w:hAnsi="宋体" w:hint="eastAsia"/>
          <w:szCs w:val="21"/>
        </w:rPr>
        <w:t>不限制。</w:t>
      </w:r>
    </w:p>
    <w:p w:rsidR="00000000" w:rsidRDefault="00C130C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）申购、转换转入及定期定额</w:t>
      </w:r>
      <w:r>
        <w:rPr>
          <w:rFonts w:ascii="宋体" w:hAnsi="宋体" w:hint="eastAsia"/>
          <w:szCs w:val="21"/>
        </w:rPr>
        <w:t>投资的大额交易限制按照</w:t>
      </w:r>
      <w:r>
        <w:rPr>
          <w:rFonts w:ascii="宋体" w:hAnsi="宋体" w:hint="eastAsia"/>
          <w:szCs w:val="21"/>
        </w:rPr>
        <w:t xml:space="preserve"> A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两类份额</w:t>
      </w:r>
      <w:r>
        <w:rPr>
          <w:rFonts w:ascii="宋体" w:hAnsi="宋体" w:hint="eastAsia"/>
          <w:szCs w:val="21"/>
        </w:rPr>
        <w:t>单独</w:t>
      </w:r>
      <w:r>
        <w:rPr>
          <w:rFonts w:ascii="宋体" w:hAnsi="宋体" w:hint="eastAsia"/>
          <w:szCs w:val="21"/>
        </w:rPr>
        <w:t>判断。</w:t>
      </w:r>
    </w:p>
    <w:p w:rsidR="00000000" w:rsidRDefault="00C130C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/>
          <w:szCs w:val="21"/>
        </w:rPr>
        <w:t>大额申购、大额转换转入及大额定期定额申购交易申请，限制起始日为</w:t>
      </w:r>
      <w:r>
        <w:rPr>
          <w:rFonts w:ascii="宋体" w:hAnsi="宋体"/>
          <w:szCs w:val="21"/>
        </w:rPr>
        <w:t>202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/>
          <w:szCs w:val="21"/>
        </w:rPr>
        <w:t>日，需要注意的是</w:t>
      </w:r>
      <w:r>
        <w:rPr>
          <w:rFonts w:ascii="宋体" w:hAnsi="宋体"/>
          <w:szCs w:val="21"/>
        </w:rPr>
        <w:t>202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17</w:t>
      </w:r>
      <w:r>
        <w:rPr>
          <w:rFonts w:ascii="宋体" w:hAnsi="宋体"/>
          <w:szCs w:val="21"/>
        </w:rPr>
        <w:t>日</w:t>
      </w:r>
      <w:r>
        <w:rPr>
          <w:rFonts w:ascii="宋体" w:hAnsi="宋体"/>
          <w:szCs w:val="21"/>
        </w:rPr>
        <w:t>15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szCs w:val="21"/>
        </w:rPr>
        <w:t>00</w:t>
      </w:r>
      <w:r>
        <w:rPr>
          <w:rFonts w:ascii="宋体" w:hAnsi="宋体"/>
          <w:szCs w:val="21"/>
        </w:rPr>
        <w:t>后提交的基金交易申请将视为</w:t>
      </w:r>
      <w:r>
        <w:rPr>
          <w:rFonts w:ascii="宋体" w:hAnsi="宋体"/>
          <w:szCs w:val="21"/>
        </w:rPr>
        <w:t>202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/>
          <w:szCs w:val="21"/>
        </w:rPr>
        <w:t>日的交易申请，同样受上述限制。投资者成功提交申请的时间以</w:t>
      </w:r>
      <w:r>
        <w:rPr>
          <w:rFonts w:ascii="宋体" w:hAnsi="宋体" w:hint="eastAsia"/>
          <w:szCs w:val="21"/>
        </w:rPr>
        <w:t>安信基金管理有限责任公司（</w:t>
      </w:r>
      <w:r>
        <w:rPr>
          <w:rFonts w:ascii="宋体" w:hAnsi="宋体" w:hint="eastAsia"/>
          <w:szCs w:val="21"/>
        </w:rPr>
        <w:t>以下</w:t>
      </w:r>
      <w:r>
        <w:rPr>
          <w:rFonts w:ascii="宋体" w:hAnsi="宋体" w:hint="eastAsia"/>
          <w:szCs w:val="21"/>
        </w:rPr>
        <w:lastRenderedPageBreak/>
        <w:t>简称“本公司”）</w:t>
      </w:r>
      <w:r>
        <w:rPr>
          <w:rFonts w:ascii="宋体" w:hAnsi="宋体"/>
          <w:szCs w:val="21"/>
        </w:rPr>
        <w:t>系统自动记录的时间为准。</w:t>
      </w:r>
    </w:p>
    <w:p w:rsidR="00000000" w:rsidRDefault="00C130C1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bookmarkStart w:id="35" w:name="t_3_2_table"/>
      <w:bookmarkEnd w:id="4"/>
      <w:bookmarkEnd w:id="35"/>
      <w:r>
        <w:rPr>
          <w:rFonts w:ascii="宋体" w:eastAsia="宋体" w:hAnsi="宋体" w:hint="eastAsia"/>
          <w:sz w:val="24"/>
        </w:rPr>
        <w:t>其他需要提示的事项</w:t>
      </w:r>
    </w:p>
    <w:p w:rsidR="00000000" w:rsidRDefault="00C130C1">
      <w:pPr>
        <w:spacing w:line="360" w:lineRule="auto"/>
        <w:ind w:firstLine="420"/>
        <w:jc w:val="left"/>
        <w:rPr>
          <w:rFonts w:ascii="宋体" w:hAnsi="宋体"/>
          <w:szCs w:val="21"/>
        </w:rPr>
      </w:pPr>
      <w:bookmarkStart w:id="36" w:name="t_3_2_2646_a1_fm1"/>
      <w:bookmarkEnd w:id="36"/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）为保护基金份额持有人利益，本公司决定自</w:t>
      </w:r>
      <w:r>
        <w:rPr>
          <w:rFonts w:ascii="宋体" w:hAnsi="宋体"/>
          <w:szCs w:val="21"/>
        </w:rPr>
        <w:t>202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起，暂停本基金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类份额</w:t>
      </w:r>
      <w:r>
        <w:rPr>
          <w:rFonts w:ascii="宋体" w:hAnsi="宋体" w:hint="eastAsia"/>
          <w:szCs w:val="21"/>
        </w:rPr>
        <w:t>大额申购、大额转换转入及大额定期定额投资业务，限额为不超过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元（含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元），如单日单个账户单笔申请金额高于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元（不含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元）的，本基金管理人有权将不超过</w:t>
      </w:r>
      <w:r>
        <w:rPr>
          <w:rFonts w:ascii="宋体" w:hAnsi="宋体" w:hint="eastAsia"/>
          <w:szCs w:val="21"/>
        </w:rPr>
        <w:t xml:space="preserve"> 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元限额的申请部分确认成功，超过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元限额的申请部分确认失败；如单日单个账户多笔累计申请金额高于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元（不含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元）的，则对申请按照申请金额从大到小排序，逐笔累加至符合</w:t>
      </w:r>
      <w:r>
        <w:rPr>
          <w:rFonts w:ascii="宋体" w:hAnsi="宋体" w:hint="eastAsia"/>
          <w:szCs w:val="21"/>
        </w:rPr>
        <w:t>不超过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元限额的申请确认成功，对于超过临界限额的单笔委托，将对其中不超过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元限额的申请部分确认成功，该笔委托的其余部分本基金管理人有权确认失败。</w:t>
      </w:r>
    </w:p>
    <w:p w:rsidR="00000000" w:rsidRDefault="00C130C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）在上述期间的交易日，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类份额大额申购、大额转换转入及大额定期定额投资业务，以及</w:t>
      </w:r>
      <w:r>
        <w:rPr>
          <w:rFonts w:ascii="宋体" w:hAnsi="宋体"/>
          <w:szCs w:val="21"/>
        </w:rPr>
        <w:t>本基金作为转出方的转换业务、赎回业务仍照常办理</w:t>
      </w:r>
      <w:r>
        <w:rPr>
          <w:rFonts w:ascii="宋体" w:hAnsi="宋体" w:hint="eastAsia"/>
          <w:szCs w:val="21"/>
        </w:rPr>
        <w:t>。本基金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类份额</w:t>
      </w:r>
      <w:r>
        <w:rPr>
          <w:rFonts w:ascii="宋体" w:hAnsi="宋体" w:hint="eastAsia"/>
          <w:szCs w:val="21"/>
        </w:rPr>
        <w:t>恢复正常申购、转换转入及定期定额投资业务的具体时间将另行公告。</w:t>
      </w:r>
    </w:p>
    <w:p w:rsidR="00000000" w:rsidRDefault="00C130C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如有疑问，请拨打客户服务热线：</w:t>
      </w:r>
      <w:r>
        <w:rPr>
          <w:rFonts w:ascii="宋体" w:hAnsi="宋体"/>
          <w:szCs w:val="21"/>
        </w:rPr>
        <w:t>4008-088-088</w:t>
      </w:r>
      <w:r>
        <w:rPr>
          <w:rFonts w:ascii="宋体" w:hAnsi="宋体"/>
          <w:szCs w:val="21"/>
        </w:rPr>
        <w:t>（免长途话费），或登录网站</w:t>
      </w:r>
      <w:r>
        <w:rPr>
          <w:rFonts w:ascii="宋体" w:hAnsi="宋体"/>
          <w:szCs w:val="21"/>
        </w:rPr>
        <w:t>www.essencefund.com</w:t>
      </w:r>
      <w:r>
        <w:rPr>
          <w:rFonts w:ascii="宋体" w:hAnsi="宋体"/>
          <w:szCs w:val="21"/>
        </w:rPr>
        <w:t>获取相关信息。</w:t>
      </w:r>
    </w:p>
    <w:p w:rsidR="00000000" w:rsidRDefault="00C130C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</w:t>
      </w:r>
      <w:r>
        <w:rPr>
          <w:rFonts w:ascii="宋体" w:hAnsi="宋体" w:hint="eastAsia"/>
          <w:szCs w:val="21"/>
        </w:rPr>
        <w:t>险提示：本公司承诺以诚实信用、勤勉尽责的原则管理和运用基金资产，但不保证基金一定盈利，也不保证最低收益。定期定额投资是引导投资人进行长期投资、平均投资成本的一种投资方式，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000000" w:rsidRDefault="00C130C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C130C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C130C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C130C1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安信基金管理有限责任公司</w:t>
      </w:r>
    </w:p>
    <w:p w:rsidR="00000000" w:rsidRDefault="00C130C1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5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7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8</w:t>
      </w:r>
      <w:r>
        <w:rPr>
          <w:rFonts w:ascii="宋体" w:hAnsi="宋体"/>
          <w:sz w:val="24"/>
          <w:szCs w:val="30"/>
        </w:rPr>
        <w:t>日</w:t>
      </w:r>
    </w:p>
    <w:sectPr w:rsidR="00000000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130C1">
      <w:r>
        <w:separator/>
      </w:r>
    </w:p>
  </w:endnote>
  <w:endnote w:type="continuationSeparator" w:id="0">
    <w:p w:rsidR="00000000" w:rsidRDefault="00C13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30C1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C130C1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C130C1">
        <w:rPr>
          <w:noProof/>
          <w:lang w:val="en-US" w:eastAsia="zh-CN"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130C1">
      <w:r>
        <w:separator/>
      </w:r>
    </w:p>
  </w:footnote>
  <w:footnote w:type="continuationSeparator" w:id="0">
    <w:p w:rsidR="00000000" w:rsidRDefault="00C13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30C1">
    <w:pPr>
      <w:pStyle w:val="a7"/>
      <w:jc w:val="right"/>
      <w:rPr>
        <w:sz w:val="15"/>
        <w:szCs w:val="15"/>
      </w:rPr>
    </w:pPr>
    <w:r>
      <w:rPr>
        <w:rFonts w:hint="eastAsia"/>
        <w:sz w:val="15"/>
        <w:szCs w:val="15"/>
      </w:rPr>
      <w:t>关于暂停安信稳健汇利一年持有期混合型证券投资基金</w:t>
    </w:r>
    <w:r>
      <w:rPr>
        <w:rFonts w:hint="eastAsia"/>
        <w:sz w:val="15"/>
        <w:szCs w:val="15"/>
      </w:rPr>
      <w:t>A</w:t>
    </w:r>
    <w:r>
      <w:rPr>
        <w:rFonts w:hint="eastAsia"/>
        <w:sz w:val="15"/>
        <w:szCs w:val="15"/>
      </w:rPr>
      <w:t>类份额</w:t>
    </w:r>
    <w:r>
      <w:rPr>
        <w:rFonts w:hint="eastAsia"/>
        <w:sz w:val="15"/>
        <w:szCs w:val="15"/>
      </w:rPr>
      <w:t>大额申购、大额转换</w:t>
    </w:r>
    <w:r>
      <w:rPr>
        <w:rFonts w:hint="eastAsia"/>
        <w:sz w:val="15"/>
        <w:szCs w:val="15"/>
      </w:rPr>
      <w:t>转入及大额定期定额投资业务的公告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multilevel"/>
    <w:tmpl w:val="215276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5EE"/>
    <w:rsid w:val="00027B9F"/>
    <w:rsid w:val="000B3F33"/>
    <w:rsid w:val="000C5958"/>
    <w:rsid w:val="000E399A"/>
    <w:rsid w:val="000E3B38"/>
    <w:rsid w:val="000F3B9A"/>
    <w:rsid w:val="00101E14"/>
    <w:rsid w:val="00144884"/>
    <w:rsid w:val="00176228"/>
    <w:rsid w:val="00191564"/>
    <w:rsid w:val="001943DD"/>
    <w:rsid w:val="001A5560"/>
    <w:rsid w:val="001E470E"/>
    <w:rsid w:val="00205AE0"/>
    <w:rsid w:val="002248F5"/>
    <w:rsid w:val="00252C0A"/>
    <w:rsid w:val="00283563"/>
    <w:rsid w:val="00285624"/>
    <w:rsid w:val="00291063"/>
    <w:rsid w:val="003002C2"/>
    <w:rsid w:val="0030589F"/>
    <w:rsid w:val="00320C55"/>
    <w:rsid w:val="003530BC"/>
    <w:rsid w:val="003C4045"/>
    <w:rsid w:val="003D0189"/>
    <w:rsid w:val="004465E2"/>
    <w:rsid w:val="004626A6"/>
    <w:rsid w:val="00477386"/>
    <w:rsid w:val="004C7D1D"/>
    <w:rsid w:val="00500357"/>
    <w:rsid w:val="00541C07"/>
    <w:rsid w:val="00565BD1"/>
    <w:rsid w:val="0057482D"/>
    <w:rsid w:val="00574B80"/>
    <w:rsid w:val="0064204E"/>
    <w:rsid w:val="006566A8"/>
    <w:rsid w:val="00684A4A"/>
    <w:rsid w:val="006C6876"/>
    <w:rsid w:val="00721909"/>
    <w:rsid w:val="0076760B"/>
    <w:rsid w:val="007A1D1C"/>
    <w:rsid w:val="007A695E"/>
    <w:rsid w:val="007C038A"/>
    <w:rsid w:val="007C6375"/>
    <w:rsid w:val="007D1055"/>
    <w:rsid w:val="007D2A97"/>
    <w:rsid w:val="007F3F7D"/>
    <w:rsid w:val="007F6DB8"/>
    <w:rsid w:val="00802D35"/>
    <w:rsid w:val="00814EAD"/>
    <w:rsid w:val="0083110A"/>
    <w:rsid w:val="00833E32"/>
    <w:rsid w:val="0087056B"/>
    <w:rsid w:val="008870B9"/>
    <w:rsid w:val="008975D3"/>
    <w:rsid w:val="008C5E8B"/>
    <w:rsid w:val="00915D8F"/>
    <w:rsid w:val="0092216E"/>
    <w:rsid w:val="00977AD2"/>
    <w:rsid w:val="0098118F"/>
    <w:rsid w:val="0099148E"/>
    <w:rsid w:val="00992BA0"/>
    <w:rsid w:val="009A7C83"/>
    <w:rsid w:val="009D498B"/>
    <w:rsid w:val="00A14663"/>
    <w:rsid w:val="00A4085E"/>
    <w:rsid w:val="00A40A8D"/>
    <w:rsid w:val="00A42597"/>
    <w:rsid w:val="00A54108"/>
    <w:rsid w:val="00A93EDC"/>
    <w:rsid w:val="00AB1849"/>
    <w:rsid w:val="00AC0CB4"/>
    <w:rsid w:val="00AF4C09"/>
    <w:rsid w:val="00B37E72"/>
    <w:rsid w:val="00BC6DDF"/>
    <w:rsid w:val="00BF60E4"/>
    <w:rsid w:val="00C111CB"/>
    <w:rsid w:val="00C130C1"/>
    <w:rsid w:val="00C64034"/>
    <w:rsid w:val="00C92A9F"/>
    <w:rsid w:val="00CC03BE"/>
    <w:rsid w:val="00D31973"/>
    <w:rsid w:val="00D36F66"/>
    <w:rsid w:val="00D53672"/>
    <w:rsid w:val="00D7451E"/>
    <w:rsid w:val="00DB373E"/>
    <w:rsid w:val="00E00F4E"/>
    <w:rsid w:val="00E02E88"/>
    <w:rsid w:val="00E3021F"/>
    <w:rsid w:val="00E34981"/>
    <w:rsid w:val="00E75C2E"/>
    <w:rsid w:val="00E8406E"/>
    <w:rsid w:val="00EB0EB6"/>
    <w:rsid w:val="00EE69EF"/>
    <w:rsid w:val="00F0094F"/>
    <w:rsid w:val="00F5500B"/>
    <w:rsid w:val="00F96A07"/>
    <w:rsid w:val="00FA1314"/>
    <w:rsid w:val="00FB1A62"/>
    <w:rsid w:val="00FD660A"/>
    <w:rsid w:val="00FE2F17"/>
    <w:rsid w:val="00FF5E9C"/>
    <w:rsid w:val="02BE59E4"/>
    <w:rsid w:val="09F313B4"/>
    <w:rsid w:val="0CFE2F8F"/>
    <w:rsid w:val="23182E4F"/>
    <w:rsid w:val="309F0C8A"/>
    <w:rsid w:val="3EC55C4C"/>
    <w:rsid w:val="494B4B14"/>
    <w:rsid w:val="4BA61683"/>
    <w:rsid w:val="4D1829A9"/>
    <w:rsid w:val="58DF1D27"/>
    <w:rsid w:val="5AF61E76"/>
    <w:rsid w:val="5C877657"/>
    <w:rsid w:val="5FE94343"/>
    <w:rsid w:val="698B6BB9"/>
    <w:rsid w:val="7805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4"/>
    <w:uiPriority w:val="99"/>
    <w:rPr>
      <w:kern w:val="2"/>
      <w:sz w:val="21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2">
    <w:name w:val="页眉 Char"/>
    <w:link w:val="a7"/>
    <w:rPr>
      <w:kern w:val="2"/>
      <w:sz w:val="18"/>
    </w:rPr>
  </w:style>
  <w:style w:type="paragraph" w:styleId="a8">
    <w:name w:val="footnote text"/>
    <w:basedOn w:val="a"/>
    <w:link w:val="Char3"/>
    <w:pPr>
      <w:snapToGrid w:val="0"/>
      <w:jc w:val="left"/>
    </w:pPr>
    <w:rPr>
      <w:rFonts w:ascii="Times New Roman" w:hAnsi="Times New Roman"/>
      <w:sz w:val="18"/>
    </w:rPr>
  </w:style>
  <w:style w:type="character" w:customStyle="1" w:styleId="Char3">
    <w:name w:val="脚注文本 Char"/>
    <w:link w:val="a8"/>
    <w:rPr>
      <w:rFonts w:ascii="Times New Roman" w:hAnsi="Times New Roman"/>
      <w:kern w:val="2"/>
      <w:sz w:val="18"/>
    </w:rPr>
  </w:style>
  <w:style w:type="paragraph" w:styleId="a9">
    <w:name w:val="annotation subject"/>
    <w:basedOn w:val="a4"/>
    <w:next w:val="a4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9"/>
    <w:uiPriority w:val="99"/>
    <w:semiHidden/>
    <w:rPr>
      <w:b/>
      <w:bCs/>
      <w:kern w:val="2"/>
      <w:sz w:val="21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styleId="ab">
    <w:name w:val="footnote reference"/>
    <w:rPr>
      <w:vertAlign w:val="superscript"/>
    </w:rPr>
  </w:style>
  <w:style w:type="paragraph" w:customStyle="1" w:styleId="Char5">
    <w:name w:val=" Char"/>
    <w:basedOn w:val="a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1494</Characters>
  <Application>Microsoft Office Word</Application>
  <DocSecurity>4</DocSecurity>
  <PresentationFormat/>
  <Lines>12</Lines>
  <Paragraphs>3</Paragraphs>
  <Slides>0</Slides>
  <Notes>0</Notes>
  <HiddenSlides>0</HiddenSlides>
  <MMClips>0</MMClips>
  <ScaleCrop>false</ScaleCrop>
  <Manager/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dc:description/>
  <cp:lastModifiedBy>ZHONGM</cp:lastModifiedBy>
  <cp:revision>2</cp:revision>
  <dcterms:created xsi:type="dcterms:W3CDTF">2025-07-17T16:02:00Z</dcterms:created>
  <dcterms:modified xsi:type="dcterms:W3CDTF">2025-07-17T16:02:00Z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eyJoZGlkIjoiODQ5ZjU2ZDBiZTEyNjI4ZThjODc2Y2RkNDBjMDc1NTEiLCJ1c2VySWQiOiIxNjE0NDQ0NTc5In0=</vt:lpwstr>
  </property>
  <property fmtid="{D5CDD505-2E9C-101B-9397-08002B2CF9AE}" pid="4" name="ICV">
    <vt:lpwstr>4B80BA2675694E7B9EBE0C04BA6D6FF0_12</vt:lpwstr>
  </property>
</Properties>
</file>