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C2" w:rsidRDefault="008E28E8">
      <w:pPr>
        <w:spacing w:line="360" w:lineRule="auto"/>
        <w:jc w:val="center"/>
        <w:rPr>
          <w:rFonts w:ascii="宋体" w:hAnsi="宋体"/>
          <w:b/>
          <w:sz w:val="24"/>
          <w:szCs w:val="28"/>
        </w:rPr>
      </w:pPr>
      <w:r>
        <w:rPr>
          <w:rFonts w:ascii="宋体" w:hAnsi="宋体" w:hint="eastAsia"/>
          <w:b/>
          <w:sz w:val="24"/>
          <w:szCs w:val="28"/>
        </w:rPr>
        <w:t>平安基金管理有限公司</w:t>
      </w:r>
    </w:p>
    <w:p w:rsidR="00FA6DC2" w:rsidRDefault="008E28E8">
      <w:pPr>
        <w:spacing w:line="360" w:lineRule="auto"/>
        <w:ind w:firstLineChars="100" w:firstLine="241"/>
        <w:jc w:val="center"/>
        <w:rPr>
          <w:b/>
          <w:sz w:val="24"/>
          <w:szCs w:val="30"/>
        </w:rPr>
      </w:pPr>
      <w:r>
        <w:rPr>
          <w:rFonts w:hint="eastAsia"/>
          <w:b/>
          <w:sz w:val="24"/>
          <w:szCs w:val="30"/>
        </w:rPr>
        <w:t>关于新增中国邮政储蓄银行股份有限公司为旗下基金销售机构的公告</w:t>
      </w:r>
    </w:p>
    <w:p w:rsidR="00FA6DC2" w:rsidRDefault="00FA6DC2">
      <w:pPr>
        <w:spacing w:line="360" w:lineRule="auto"/>
        <w:ind w:firstLineChars="100" w:firstLine="241"/>
        <w:jc w:val="center"/>
        <w:rPr>
          <w:b/>
          <w:sz w:val="24"/>
          <w:szCs w:val="30"/>
        </w:rPr>
      </w:pPr>
    </w:p>
    <w:p w:rsidR="00FA6DC2" w:rsidRDefault="008E28E8">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与中国邮政储蓄银行股份有限公司（</w:t>
      </w:r>
      <w:bookmarkStart w:id="0" w:name="_GoBack"/>
      <w:bookmarkEnd w:id="0"/>
      <w:r>
        <w:rPr>
          <w:rFonts w:ascii="宋体" w:hAnsi="宋体" w:hint="eastAsia"/>
          <w:szCs w:val="21"/>
        </w:rPr>
        <w:t>以下简称“邮储银行”）签署的销售补充协议，从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11</w:t>
      </w:r>
      <w:r>
        <w:rPr>
          <w:rFonts w:ascii="宋体" w:hAnsi="宋体" w:hint="eastAsia"/>
          <w:szCs w:val="21"/>
        </w:rPr>
        <w:t>日起，邮储银行新增销售</w:t>
      </w:r>
      <w:r>
        <w:rPr>
          <w:rFonts w:ascii="宋体" w:hAnsi="宋体" w:hint="eastAsia"/>
          <w:szCs w:val="21"/>
        </w:rPr>
        <w:t>本公司</w:t>
      </w:r>
      <w:r>
        <w:rPr>
          <w:rFonts w:ascii="宋体" w:hAnsi="宋体" w:hint="eastAsia"/>
          <w:szCs w:val="21"/>
        </w:rPr>
        <w:t>旗下部分基金</w:t>
      </w:r>
      <w:r>
        <w:rPr>
          <w:rFonts w:hint="eastAsia"/>
        </w:rPr>
        <w:t>，现将相关事项公告如下：</w:t>
      </w:r>
    </w:p>
    <w:p w:rsidR="00FA6DC2" w:rsidRDefault="008E28E8">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11</w:t>
      </w:r>
      <w:r>
        <w:rPr>
          <w:rFonts w:ascii="宋体" w:hAnsi="宋体" w:hint="eastAsia"/>
          <w:szCs w:val="21"/>
        </w:rPr>
        <w:t>日起，投资者可通过邮储银行办理以下基金的开户、申购、赎回、定投、转换等业务。</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5252"/>
        <w:gridCol w:w="850"/>
        <w:gridCol w:w="851"/>
        <w:gridCol w:w="850"/>
      </w:tblGrid>
      <w:tr w:rsidR="00FA6DC2">
        <w:trPr>
          <w:jc w:val="center"/>
        </w:trPr>
        <w:tc>
          <w:tcPr>
            <w:tcW w:w="1264" w:type="dxa"/>
            <w:shd w:val="clear" w:color="auto" w:fill="auto"/>
            <w:vAlign w:val="center"/>
          </w:tcPr>
          <w:p w:rsidR="00FA6DC2" w:rsidRDefault="008E28E8">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基金代码</w:t>
            </w:r>
          </w:p>
        </w:tc>
        <w:tc>
          <w:tcPr>
            <w:tcW w:w="5252" w:type="dxa"/>
            <w:shd w:val="clear" w:color="auto" w:fill="auto"/>
            <w:vAlign w:val="center"/>
          </w:tcPr>
          <w:p w:rsidR="00FA6DC2" w:rsidRDefault="008E28E8">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基金名称</w:t>
            </w:r>
          </w:p>
        </w:tc>
        <w:tc>
          <w:tcPr>
            <w:tcW w:w="850" w:type="dxa"/>
            <w:shd w:val="clear" w:color="auto" w:fill="auto"/>
            <w:vAlign w:val="center"/>
          </w:tcPr>
          <w:p w:rsidR="00FA6DC2" w:rsidRDefault="008E28E8">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是否开通定投</w:t>
            </w:r>
          </w:p>
        </w:tc>
        <w:tc>
          <w:tcPr>
            <w:tcW w:w="851" w:type="dxa"/>
            <w:shd w:val="clear" w:color="auto" w:fill="auto"/>
            <w:vAlign w:val="center"/>
          </w:tcPr>
          <w:p w:rsidR="00FA6DC2" w:rsidRDefault="008E28E8">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是否开通转换</w:t>
            </w:r>
          </w:p>
        </w:tc>
        <w:tc>
          <w:tcPr>
            <w:tcW w:w="850" w:type="dxa"/>
            <w:shd w:val="clear" w:color="auto" w:fill="auto"/>
            <w:vAlign w:val="center"/>
          </w:tcPr>
          <w:p w:rsidR="00FA6DC2" w:rsidRDefault="008E28E8">
            <w:pPr>
              <w:spacing w:line="360" w:lineRule="auto"/>
              <w:jc w:val="center"/>
              <w:rPr>
                <w:rFonts w:asciiTheme="minorEastAsia" w:eastAsiaTheme="minorEastAsia" w:hAnsiTheme="minorEastAsia" w:cs="Calibri"/>
                <w:b/>
                <w:sz w:val="20"/>
                <w:szCs w:val="18"/>
              </w:rPr>
            </w:pPr>
            <w:r>
              <w:rPr>
                <w:rFonts w:asciiTheme="minorEastAsia" w:eastAsiaTheme="minorEastAsia" w:hAnsiTheme="minorEastAsia" w:cs="Calibri" w:hint="eastAsia"/>
                <w:b/>
                <w:sz w:val="20"/>
                <w:szCs w:val="18"/>
              </w:rPr>
              <w:t>是否参加费率优惠</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015485</w:t>
            </w:r>
          </w:p>
        </w:tc>
        <w:tc>
          <w:tcPr>
            <w:tcW w:w="5252" w:type="dxa"/>
            <w:shd w:val="clear" w:color="auto" w:fill="auto"/>
            <w:vAlign w:val="center"/>
          </w:tcPr>
          <w:p w:rsidR="00FA6DC2" w:rsidRDefault="008E28E8">
            <w:pPr>
              <w:spacing w:line="360" w:lineRule="auto"/>
              <w:jc w:val="center"/>
            </w:pPr>
            <w:r>
              <w:rPr>
                <w:rFonts w:hint="eastAsia"/>
              </w:rPr>
              <w:t>平安策略优选</w:t>
            </w:r>
            <w:r>
              <w:rPr>
                <w:rFonts w:hint="eastAsia"/>
              </w:rPr>
              <w:t>1</w:t>
            </w:r>
            <w:r>
              <w:rPr>
                <w:rFonts w:hint="eastAsia"/>
              </w:rPr>
              <w:t>年持有期混合型证券投资基金（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1"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015486</w:t>
            </w:r>
          </w:p>
        </w:tc>
        <w:tc>
          <w:tcPr>
            <w:tcW w:w="5252" w:type="dxa"/>
            <w:shd w:val="clear" w:color="auto" w:fill="auto"/>
            <w:vAlign w:val="center"/>
          </w:tcPr>
          <w:p w:rsidR="00FA6DC2" w:rsidRDefault="008E28E8">
            <w:pPr>
              <w:spacing w:line="360" w:lineRule="auto"/>
              <w:jc w:val="center"/>
            </w:pPr>
            <w:r>
              <w:rPr>
                <w:rFonts w:hint="eastAsia"/>
              </w:rPr>
              <w:t>平安策略优选</w:t>
            </w:r>
            <w:r>
              <w:rPr>
                <w:rFonts w:hint="eastAsia"/>
              </w:rPr>
              <w:t>1</w:t>
            </w:r>
            <w:r>
              <w:rPr>
                <w:rFonts w:hint="eastAsia"/>
              </w:rPr>
              <w:t>年持有期混合型证券投资基金（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008949</w:t>
            </w:r>
          </w:p>
        </w:tc>
        <w:tc>
          <w:tcPr>
            <w:tcW w:w="5252" w:type="dxa"/>
            <w:shd w:val="clear" w:color="auto" w:fill="auto"/>
            <w:vAlign w:val="center"/>
          </w:tcPr>
          <w:p w:rsidR="00FA6DC2" w:rsidRDefault="008E28E8">
            <w:pPr>
              <w:spacing w:line="360" w:lineRule="auto"/>
              <w:jc w:val="center"/>
            </w:pPr>
            <w:r>
              <w:rPr>
                <w:rFonts w:hint="eastAsia"/>
              </w:rPr>
              <w:t>平安匠心优选混合型证券投资基金（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008950</w:t>
            </w:r>
          </w:p>
        </w:tc>
        <w:tc>
          <w:tcPr>
            <w:tcW w:w="5252" w:type="dxa"/>
            <w:shd w:val="clear" w:color="auto" w:fill="auto"/>
            <w:vAlign w:val="center"/>
          </w:tcPr>
          <w:p w:rsidR="00FA6DC2" w:rsidRDefault="008E28E8">
            <w:pPr>
              <w:spacing w:line="360" w:lineRule="auto"/>
              <w:jc w:val="center"/>
            </w:pPr>
            <w:r>
              <w:rPr>
                <w:rFonts w:hint="eastAsia"/>
              </w:rPr>
              <w:t>平安匠心优选混合型证券投资基金（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009008</w:t>
            </w:r>
          </w:p>
        </w:tc>
        <w:tc>
          <w:tcPr>
            <w:tcW w:w="5252" w:type="dxa"/>
            <w:shd w:val="clear" w:color="auto" w:fill="auto"/>
            <w:vAlign w:val="center"/>
          </w:tcPr>
          <w:p w:rsidR="00FA6DC2" w:rsidRDefault="008E28E8">
            <w:pPr>
              <w:spacing w:line="360" w:lineRule="auto"/>
              <w:jc w:val="center"/>
            </w:pPr>
            <w:r>
              <w:rPr>
                <w:rFonts w:hint="eastAsia"/>
              </w:rPr>
              <w:t>平安科技创新混合型证券投资基金（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009009</w:t>
            </w:r>
          </w:p>
        </w:tc>
        <w:tc>
          <w:tcPr>
            <w:tcW w:w="5252" w:type="dxa"/>
            <w:shd w:val="clear" w:color="auto" w:fill="auto"/>
            <w:vAlign w:val="center"/>
          </w:tcPr>
          <w:p w:rsidR="00FA6DC2" w:rsidRDefault="008E28E8">
            <w:pPr>
              <w:spacing w:line="360" w:lineRule="auto"/>
              <w:jc w:val="center"/>
            </w:pPr>
            <w:r>
              <w:rPr>
                <w:rFonts w:hint="eastAsia"/>
              </w:rPr>
              <w:t>平安科技创新混合型证券投资基金（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014460</w:t>
            </w:r>
          </w:p>
        </w:tc>
        <w:tc>
          <w:tcPr>
            <w:tcW w:w="5252" w:type="dxa"/>
            <w:shd w:val="clear" w:color="auto" w:fill="auto"/>
            <w:vAlign w:val="center"/>
          </w:tcPr>
          <w:p w:rsidR="00FA6DC2" w:rsidRDefault="008E28E8">
            <w:pPr>
              <w:spacing w:line="360" w:lineRule="auto"/>
              <w:jc w:val="center"/>
            </w:pPr>
            <w:r>
              <w:rPr>
                <w:rFonts w:hint="eastAsia"/>
              </w:rPr>
              <w:t>平安品质优选混合型证券投资基金（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014461</w:t>
            </w:r>
          </w:p>
        </w:tc>
        <w:tc>
          <w:tcPr>
            <w:tcW w:w="5252" w:type="dxa"/>
            <w:shd w:val="clear" w:color="auto" w:fill="auto"/>
            <w:vAlign w:val="center"/>
          </w:tcPr>
          <w:p w:rsidR="00FA6DC2" w:rsidRDefault="008E28E8">
            <w:pPr>
              <w:spacing w:line="360" w:lineRule="auto"/>
              <w:jc w:val="center"/>
            </w:pPr>
            <w:r>
              <w:rPr>
                <w:rFonts w:hint="eastAsia"/>
              </w:rPr>
              <w:t>平安品质优选混合型证券投资基金（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011828</w:t>
            </w:r>
          </w:p>
        </w:tc>
        <w:tc>
          <w:tcPr>
            <w:tcW w:w="5252" w:type="dxa"/>
            <w:shd w:val="clear" w:color="auto" w:fill="auto"/>
            <w:vAlign w:val="center"/>
          </w:tcPr>
          <w:p w:rsidR="00FA6DC2" w:rsidRDefault="008E28E8">
            <w:pPr>
              <w:spacing w:line="360" w:lineRule="auto"/>
              <w:jc w:val="center"/>
            </w:pPr>
            <w:r>
              <w:rPr>
                <w:rFonts w:hint="eastAsia"/>
              </w:rPr>
              <w:t>平安睿享成长混合型证券投资基金（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011829</w:t>
            </w:r>
          </w:p>
        </w:tc>
        <w:tc>
          <w:tcPr>
            <w:tcW w:w="5252" w:type="dxa"/>
            <w:shd w:val="clear" w:color="auto" w:fill="auto"/>
            <w:vAlign w:val="center"/>
          </w:tcPr>
          <w:p w:rsidR="00FA6DC2" w:rsidRDefault="008E28E8">
            <w:pPr>
              <w:spacing w:line="360" w:lineRule="auto"/>
              <w:jc w:val="center"/>
            </w:pPr>
            <w:r>
              <w:rPr>
                <w:rFonts w:hint="eastAsia"/>
              </w:rPr>
              <w:t>平安睿享成长混合型证券投资基金（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014811</w:t>
            </w:r>
          </w:p>
        </w:tc>
        <w:tc>
          <w:tcPr>
            <w:tcW w:w="5252" w:type="dxa"/>
            <w:shd w:val="clear" w:color="auto" w:fill="auto"/>
            <w:vAlign w:val="center"/>
          </w:tcPr>
          <w:p w:rsidR="00FA6DC2" w:rsidRDefault="008E28E8">
            <w:pPr>
              <w:spacing w:line="360" w:lineRule="auto"/>
              <w:jc w:val="center"/>
            </w:pPr>
            <w:r>
              <w:rPr>
                <w:rFonts w:hint="eastAsia"/>
              </w:rPr>
              <w:t>平安兴奕成长</w:t>
            </w:r>
            <w:r>
              <w:rPr>
                <w:rFonts w:hint="eastAsia"/>
              </w:rPr>
              <w:t>1</w:t>
            </w:r>
            <w:r>
              <w:rPr>
                <w:rFonts w:hint="eastAsia"/>
              </w:rPr>
              <w:t>年持有期混合型证券投资基金（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014812</w:t>
            </w:r>
          </w:p>
        </w:tc>
        <w:tc>
          <w:tcPr>
            <w:tcW w:w="5252" w:type="dxa"/>
            <w:shd w:val="clear" w:color="auto" w:fill="auto"/>
            <w:vAlign w:val="center"/>
          </w:tcPr>
          <w:p w:rsidR="00FA6DC2" w:rsidRDefault="008E28E8">
            <w:pPr>
              <w:spacing w:line="360" w:lineRule="auto"/>
              <w:jc w:val="center"/>
            </w:pPr>
            <w:r>
              <w:rPr>
                <w:rFonts w:hint="eastAsia"/>
              </w:rPr>
              <w:t>平安兴奕成长</w:t>
            </w:r>
            <w:r>
              <w:rPr>
                <w:rFonts w:hint="eastAsia"/>
              </w:rPr>
              <w:t>1</w:t>
            </w:r>
            <w:r>
              <w:rPr>
                <w:rFonts w:hint="eastAsia"/>
              </w:rPr>
              <w:t>年持有期混合型证券投资基金（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017532</w:t>
            </w:r>
          </w:p>
        </w:tc>
        <w:tc>
          <w:tcPr>
            <w:tcW w:w="5252" w:type="dxa"/>
            <w:shd w:val="clear" w:color="auto" w:fill="auto"/>
            <w:vAlign w:val="center"/>
          </w:tcPr>
          <w:p w:rsidR="00FA6DC2" w:rsidRDefault="008E28E8">
            <w:pPr>
              <w:spacing w:line="360" w:lineRule="auto"/>
              <w:jc w:val="center"/>
            </w:pPr>
            <w:r>
              <w:rPr>
                <w:rFonts w:hint="eastAsia"/>
              </w:rPr>
              <w:t>平安研究优选混合型证券投资基金（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1"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017533</w:t>
            </w:r>
          </w:p>
        </w:tc>
        <w:tc>
          <w:tcPr>
            <w:tcW w:w="5252" w:type="dxa"/>
            <w:shd w:val="clear" w:color="auto" w:fill="auto"/>
            <w:vAlign w:val="center"/>
          </w:tcPr>
          <w:p w:rsidR="00FA6DC2" w:rsidRDefault="008E28E8">
            <w:pPr>
              <w:spacing w:line="360" w:lineRule="auto"/>
              <w:jc w:val="center"/>
            </w:pPr>
            <w:r>
              <w:rPr>
                <w:rFonts w:hint="eastAsia"/>
              </w:rPr>
              <w:t>平安研究优选混合型证券投资基金（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1"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012985</w:t>
            </w:r>
          </w:p>
        </w:tc>
        <w:tc>
          <w:tcPr>
            <w:tcW w:w="5252" w:type="dxa"/>
            <w:shd w:val="clear" w:color="auto" w:fill="auto"/>
            <w:vAlign w:val="center"/>
          </w:tcPr>
          <w:p w:rsidR="00FA6DC2" w:rsidRDefault="008E28E8">
            <w:pPr>
              <w:spacing w:line="360" w:lineRule="auto"/>
              <w:jc w:val="center"/>
            </w:pPr>
            <w:r>
              <w:rPr>
                <w:rFonts w:hint="eastAsia"/>
              </w:rPr>
              <w:t>平安优势回报</w:t>
            </w:r>
            <w:r>
              <w:rPr>
                <w:rFonts w:hint="eastAsia"/>
              </w:rPr>
              <w:t>1</w:t>
            </w:r>
            <w:r>
              <w:rPr>
                <w:rFonts w:hint="eastAsia"/>
              </w:rPr>
              <w:t>年持有期混合型证券投资基金（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012986</w:t>
            </w:r>
          </w:p>
        </w:tc>
        <w:tc>
          <w:tcPr>
            <w:tcW w:w="5252" w:type="dxa"/>
            <w:shd w:val="clear" w:color="auto" w:fill="auto"/>
            <w:vAlign w:val="center"/>
          </w:tcPr>
          <w:p w:rsidR="00FA6DC2" w:rsidRDefault="008E28E8">
            <w:pPr>
              <w:spacing w:line="360" w:lineRule="auto"/>
              <w:jc w:val="center"/>
            </w:pPr>
            <w:r>
              <w:rPr>
                <w:rFonts w:hint="eastAsia"/>
              </w:rPr>
              <w:t>平安优势回报</w:t>
            </w:r>
            <w:r>
              <w:rPr>
                <w:rFonts w:hint="eastAsia"/>
              </w:rPr>
              <w:t>1</w:t>
            </w:r>
            <w:r>
              <w:rPr>
                <w:rFonts w:hint="eastAsia"/>
              </w:rPr>
              <w:t>年持有期混合型证券投资基金（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012917</w:t>
            </w:r>
          </w:p>
        </w:tc>
        <w:tc>
          <w:tcPr>
            <w:tcW w:w="5252" w:type="dxa"/>
            <w:shd w:val="clear" w:color="auto" w:fill="auto"/>
            <w:vAlign w:val="center"/>
          </w:tcPr>
          <w:p w:rsidR="00FA6DC2" w:rsidRDefault="008E28E8">
            <w:pPr>
              <w:spacing w:line="360" w:lineRule="auto"/>
              <w:jc w:val="center"/>
            </w:pPr>
            <w:r>
              <w:rPr>
                <w:rFonts w:hint="eastAsia"/>
              </w:rPr>
              <w:t>平安优势领航</w:t>
            </w:r>
            <w:r>
              <w:rPr>
                <w:rFonts w:hint="eastAsia"/>
              </w:rPr>
              <w:t>1</w:t>
            </w:r>
            <w:r>
              <w:rPr>
                <w:rFonts w:hint="eastAsia"/>
              </w:rPr>
              <w:t>年持有期混合型证券投资基金（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012918</w:t>
            </w:r>
          </w:p>
        </w:tc>
        <w:tc>
          <w:tcPr>
            <w:tcW w:w="5252" w:type="dxa"/>
            <w:shd w:val="clear" w:color="auto" w:fill="auto"/>
            <w:vAlign w:val="center"/>
          </w:tcPr>
          <w:p w:rsidR="00FA6DC2" w:rsidRDefault="008E28E8">
            <w:pPr>
              <w:spacing w:line="360" w:lineRule="auto"/>
              <w:jc w:val="center"/>
            </w:pPr>
            <w:r>
              <w:rPr>
                <w:rFonts w:hint="eastAsia"/>
              </w:rPr>
              <w:t>平安优势领航</w:t>
            </w:r>
            <w:r>
              <w:rPr>
                <w:rFonts w:hint="eastAsia"/>
              </w:rPr>
              <w:t>1</w:t>
            </w:r>
            <w:r>
              <w:rPr>
                <w:rFonts w:hint="eastAsia"/>
              </w:rPr>
              <w:t>年持有期混合型证券投资基金（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lastRenderedPageBreak/>
              <w:t>001297</w:t>
            </w:r>
          </w:p>
        </w:tc>
        <w:tc>
          <w:tcPr>
            <w:tcW w:w="5252" w:type="dxa"/>
            <w:shd w:val="clear" w:color="auto" w:fill="auto"/>
            <w:vAlign w:val="center"/>
          </w:tcPr>
          <w:p w:rsidR="00FA6DC2" w:rsidRDefault="008E28E8">
            <w:pPr>
              <w:spacing w:line="360" w:lineRule="auto"/>
              <w:jc w:val="center"/>
            </w:pPr>
            <w:r>
              <w:rPr>
                <w:rFonts w:hint="eastAsia"/>
              </w:rPr>
              <w:t>平安智慧中国灵活配置混合型证券投资基金</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004390</w:t>
            </w:r>
          </w:p>
        </w:tc>
        <w:tc>
          <w:tcPr>
            <w:tcW w:w="5252" w:type="dxa"/>
            <w:shd w:val="clear" w:color="auto" w:fill="auto"/>
            <w:vAlign w:val="center"/>
          </w:tcPr>
          <w:p w:rsidR="00FA6DC2" w:rsidRDefault="008E28E8">
            <w:pPr>
              <w:spacing w:line="360" w:lineRule="auto"/>
              <w:jc w:val="center"/>
            </w:pPr>
            <w:r>
              <w:rPr>
                <w:rFonts w:hint="eastAsia"/>
              </w:rPr>
              <w:t>平安转型创新灵活配置混合型证券投资基金（</w:t>
            </w:r>
            <w:r>
              <w:rPr>
                <w:rFonts w:hint="eastAsia"/>
              </w:rPr>
              <w:t>A</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r w:rsidR="00FA6DC2">
        <w:trPr>
          <w:jc w:val="center"/>
        </w:trPr>
        <w:tc>
          <w:tcPr>
            <w:tcW w:w="1264" w:type="dxa"/>
            <w:shd w:val="clear" w:color="auto" w:fill="auto"/>
            <w:vAlign w:val="center"/>
          </w:tcPr>
          <w:p w:rsidR="00FA6DC2" w:rsidRDefault="008E28E8">
            <w:pPr>
              <w:spacing w:line="360" w:lineRule="auto"/>
              <w:jc w:val="center"/>
            </w:pPr>
            <w:r>
              <w:rPr>
                <w:rFonts w:hint="eastAsia"/>
              </w:rPr>
              <w:t>004391</w:t>
            </w:r>
          </w:p>
        </w:tc>
        <w:tc>
          <w:tcPr>
            <w:tcW w:w="5252" w:type="dxa"/>
            <w:shd w:val="clear" w:color="auto" w:fill="auto"/>
            <w:vAlign w:val="center"/>
          </w:tcPr>
          <w:p w:rsidR="00FA6DC2" w:rsidRDefault="008E28E8">
            <w:pPr>
              <w:spacing w:line="360" w:lineRule="auto"/>
              <w:jc w:val="center"/>
            </w:pPr>
            <w:r>
              <w:rPr>
                <w:rFonts w:hint="eastAsia"/>
              </w:rPr>
              <w:t>平安转型创新灵活配置混合型证券投资基金（</w:t>
            </w:r>
            <w:r>
              <w:rPr>
                <w:rFonts w:hint="eastAsia"/>
              </w:rPr>
              <w:t>C</w:t>
            </w:r>
            <w:r>
              <w:rPr>
                <w:rFonts w:hint="eastAsia"/>
              </w:rPr>
              <w:t>类）</w:t>
            </w:r>
          </w:p>
        </w:tc>
        <w:tc>
          <w:tcPr>
            <w:tcW w:w="850" w:type="dxa"/>
            <w:shd w:val="clear" w:color="auto" w:fill="auto"/>
          </w:tcPr>
          <w:p w:rsidR="00FA6DC2" w:rsidRDefault="008E28E8">
            <w:pPr>
              <w:spacing w:line="360" w:lineRule="auto"/>
              <w:jc w:val="center"/>
            </w:pPr>
            <w:r>
              <w:rPr>
                <w:rFonts w:hint="eastAsia"/>
              </w:rPr>
              <w:t>是</w:t>
            </w:r>
          </w:p>
        </w:tc>
        <w:tc>
          <w:tcPr>
            <w:tcW w:w="851" w:type="dxa"/>
            <w:shd w:val="clear" w:color="auto" w:fill="auto"/>
          </w:tcPr>
          <w:p w:rsidR="00FA6DC2" w:rsidRDefault="008E28E8">
            <w:pPr>
              <w:spacing w:line="360" w:lineRule="auto"/>
              <w:jc w:val="center"/>
            </w:pPr>
            <w:r>
              <w:rPr>
                <w:rFonts w:hint="eastAsia"/>
              </w:rPr>
              <w:t>是</w:t>
            </w:r>
          </w:p>
        </w:tc>
        <w:tc>
          <w:tcPr>
            <w:tcW w:w="850" w:type="dxa"/>
            <w:shd w:val="clear" w:color="auto" w:fill="auto"/>
          </w:tcPr>
          <w:p w:rsidR="00FA6DC2" w:rsidRDefault="008E28E8">
            <w:pPr>
              <w:spacing w:line="360" w:lineRule="auto"/>
              <w:jc w:val="center"/>
              <w:rPr>
                <w:rFonts w:asciiTheme="minorEastAsia" w:eastAsiaTheme="minorEastAsia" w:hAnsiTheme="minorEastAsia" w:cs="Calibri"/>
                <w:sz w:val="20"/>
                <w:szCs w:val="18"/>
              </w:rPr>
            </w:pPr>
            <w:r>
              <w:rPr>
                <w:rFonts w:asciiTheme="minorEastAsia" w:eastAsiaTheme="minorEastAsia" w:hAnsiTheme="minorEastAsia" w:cs="Calibri" w:hint="eastAsia"/>
                <w:sz w:val="20"/>
                <w:szCs w:val="18"/>
              </w:rPr>
              <w:t>是</w:t>
            </w:r>
          </w:p>
        </w:tc>
      </w:tr>
    </w:tbl>
    <w:p w:rsidR="00FA6DC2" w:rsidRDefault="008E28E8">
      <w:pPr>
        <w:spacing w:line="360" w:lineRule="auto"/>
        <w:ind w:firstLineChars="100" w:firstLine="210"/>
        <w:rPr>
          <w:color w:val="000000"/>
          <w:szCs w:val="21"/>
        </w:rPr>
      </w:pPr>
      <w:r>
        <w:rPr>
          <w:rFonts w:hint="eastAsia"/>
          <w:color w:val="000000"/>
          <w:szCs w:val="21"/>
        </w:rPr>
        <w:t>注</w:t>
      </w:r>
      <w:r>
        <w:rPr>
          <w:color w:val="000000"/>
          <w:szCs w:val="21"/>
        </w:rPr>
        <w:t xml:space="preserve">:  </w:t>
      </w:r>
      <w:r>
        <w:rPr>
          <w:rFonts w:hint="eastAsia"/>
          <w:color w:val="000000"/>
          <w:szCs w:val="21"/>
        </w:rPr>
        <w:t>同一产品不同份额之间不能相互转换。</w:t>
      </w:r>
    </w:p>
    <w:p w:rsidR="00FA6DC2" w:rsidRDefault="00FA6DC2">
      <w:pPr>
        <w:spacing w:line="360" w:lineRule="auto"/>
        <w:ind w:firstLineChars="100" w:firstLine="210"/>
        <w:rPr>
          <w:color w:val="000000"/>
          <w:szCs w:val="21"/>
        </w:rPr>
      </w:pPr>
    </w:p>
    <w:p w:rsidR="00FA6DC2" w:rsidRDefault="008E28E8">
      <w:pPr>
        <w:spacing w:line="360" w:lineRule="auto"/>
        <w:ind w:firstLineChars="200" w:firstLine="420"/>
        <w:rPr>
          <w:rFonts w:ascii="宋体" w:hAnsi="宋体"/>
          <w:szCs w:val="21"/>
        </w:rPr>
      </w:pPr>
      <w:r>
        <w:rPr>
          <w:rFonts w:ascii="宋体" w:hAnsi="宋体" w:hint="eastAsia"/>
          <w:szCs w:val="21"/>
        </w:rPr>
        <w:t>二、重要提示</w:t>
      </w:r>
    </w:p>
    <w:p w:rsidR="00FA6DC2" w:rsidRDefault="008E28E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FA6DC2" w:rsidRDefault="008E28E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FA6DC2" w:rsidRDefault="00FA6DC2">
      <w:pPr>
        <w:spacing w:line="360" w:lineRule="auto"/>
        <w:ind w:firstLineChars="200" w:firstLine="420"/>
        <w:rPr>
          <w:rFonts w:ascii="宋体" w:hAnsi="宋体"/>
          <w:szCs w:val="21"/>
        </w:rPr>
      </w:pPr>
    </w:p>
    <w:p w:rsidR="00FA6DC2" w:rsidRDefault="008E28E8">
      <w:pPr>
        <w:spacing w:line="360" w:lineRule="auto"/>
        <w:ind w:firstLineChars="200" w:firstLine="420"/>
        <w:rPr>
          <w:rFonts w:ascii="宋体" w:hAnsi="宋体"/>
          <w:szCs w:val="21"/>
        </w:rPr>
      </w:pPr>
      <w:r>
        <w:rPr>
          <w:rFonts w:ascii="宋体" w:hAnsi="宋体" w:hint="eastAsia"/>
          <w:szCs w:val="21"/>
        </w:rPr>
        <w:t>三、费率优惠</w:t>
      </w:r>
    </w:p>
    <w:p w:rsidR="00FA6DC2" w:rsidRDefault="008E28E8">
      <w:pPr>
        <w:spacing w:line="360" w:lineRule="auto"/>
        <w:ind w:firstLineChars="200" w:firstLine="420"/>
        <w:rPr>
          <w:rFonts w:ascii="宋体" w:hAnsi="宋体"/>
          <w:szCs w:val="21"/>
        </w:rPr>
      </w:pPr>
      <w:r>
        <w:rPr>
          <w:rFonts w:ascii="宋体" w:hAnsi="宋体" w:hint="eastAsia"/>
          <w:szCs w:val="21"/>
        </w:rPr>
        <w:t>投资者通过邮储银行申购或定期定额申购、转换上述基金，享受费率优惠，优惠活动解释权归邮储银行所有，请投资者咨询邮储银行。本公司对其申购费率、定期定额申购费率、转换</w:t>
      </w:r>
      <w:r>
        <w:rPr>
          <w:rFonts w:ascii="宋体" w:hAnsi="宋体" w:hint="eastAsia"/>
          <w:szCs w:val="21"/>
        </w:rPr>
        <w:t>业务的申购补差费率均不设折扣限制，优惠活动的费率折扣由邮储银行决定和执行，本公司根据邮储银行提供的费率折扣办理，若费率优惠活动内容变更，以邮储银行的活动公告为准，本公司不再另行公告。</w:t>
      </w:r>
    </w:p>
    <w:p w:rsidR="00FA6DC2" w:rsidRDefault="00FA6DC2">
      <w:pPr>
        <w:spacing w:line="360" w:lineRule="auto"/>
        <w:ind w:firstLineChars="200" w:firstLine="420"/>
        <w:rPr>
          <w:rFonts w:ascii="宋体" w:hAnsi="宋体"/>
          <w:szCs w:val="21"/>
        </w:rPr>
      </w:pPr>
    </w:p>
    <w:p w:rsidR="00FA6DC2" w:rsidRDefault="008E28E8">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FA6DC2" w:rsidRDefault="008E28E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、中国邮政储蓄银行股份有限公司</w:t>
      </w:r>
    </w:p>
    <w:p w:rsidR="00FA6DC2" w:rsidRDefault="008E28E8">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95580</w:t>
      </w:r>
    </w:p>
    <w:p w:rsidR="00FA6DC2" w:rsidRDefault="008E28E8">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www.psbc.com</w:t>
      </w:r>
    </w:p>
    <w:p w:rsidR="00FA6DC2" w:rsidRDefault="008E28E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FA6DC2" w:rsidRDefault="008E28E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FA6DC2" w:rsidRDefault="008E28E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 xml:space="preserve">fund.pingan.com </w:t>
      </w:r>
    </w:p>
    <w:p w:rsidR="00FA6DC2" w:rsidRDefault="00FA6DC2">
      <w:pPr>
        <w:spacing w:line="360" w:lineRule="auto"/>
        <w:ind w:firstLineChars="200" w:firstLine="420"/>
        <w:rPr>
          <w:rFonts w:asciiTheme="minorEastAsia" w:eastAsiaTheme="minorEastAsia" w:hAnsiTheme="minorEastAsia"/>
          <w:szCs w:val="21"/>
        </w:rPr>
      </w:pPr>
    </w:p>
    <w:p w:rsidR="00FA6DC2" w:rsidRDefault="008E28E8">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FA6DC2" w:rsidRDefault="00FA6DC2">
      <w:pPr>
        <w:spacing w:line="360" w:lineRule="auto"/>
        <w:ind w:firstLineChars="200" w:firstLine="420"/>
        <w:rPr>
          <w:rFonts w:ascii="宋体" w:hAnsi="宋体"/>
          <w:szCs w:val="21"/>
        </w:rPr>
      </w:pPr>
    </w:p>
    <w:p w:rsidR="00FA6DC2" w:rsidRDefault="008E28E8">
      <w:pPr>
        <w:spacing w:line="360" w:lineRule="auto"/>
        <w:ind w:firstLineChars="200" w:firstLine="420"/>
        <w:rPr>
          <w:rFonts w:ascii="宋体" w:hAnsi="宋体"/>
          <w:szCs w:val="21"/>
        </w:rPr>
      </w:pPr>
      <w:r>
        <w:rPr>
          <w:rFonts w:ascii="宋体" w:hAnsi="宋体"/>
          <w:szCs w:val="21"/>
        </w:rPr>
        <w:t>特此公告</w:t>
      </w:r>
      <w:r>
        <w:rPr>
          <w:rFonts w:ascii="宋体" w:hAnsi="宋体" w:hint="eastAsia"/>
          <w:szCs w:val="21"/>
        </w:rPr>
        <w:t>。</w:t>
      </w:r>
    </w:p>
    <w:p w:rsidR="00FA6DC2" w:rsidRDefault="00FA6DC2">
      <w:pPr>
        <w:spacing w:line="360" w:lineRule="auto"/>
        <w:ind w:firstLineChars="200" w:firstLine="420"/>
        <w:rPr>
          <w:rFonts w:ascii="宋体" w:hAnsi="宋体"/>
          <w:szCs w:val="21"/>
        </w:rPr>
      </w:pPr>
    </w:p>
    <w:p w:rsidR="00FA6DC2" w:rsidRDefault="008E28E8">
      <w:pPr>
        <w:spacing w:line="360" w:lineRule="auto"/>
        <w:ind w:firstLineChars="200" w:firstLine="420"/>
        <w:jc w:val="right"/>
        <w:rPr>
          <w:rFonts w:ascii="宋体" w:hAnsi="宋体"/>
          <w:szCs w:val="21"/>
        </w:rPr>
      </w:pPr>
      <w:r>
        <w:rPr>
          <w:rFonts w:ascii="宋体" w:hAnsi="宋体" w:hint="eastAsia"/>
          <w:szCs w:val="21"/>
        </w:rPr>
        <w:t>平安基金管理有限公司</w:t>
      </w:r>
    </w:p>
    <w:p w:rsidR="00FA6DC2" w:rsidRDefault="008E28E8">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11</w:t>
      </w:r>
      <w:r>
        <w:rPr>
          <w:rFonts w:ascii="宋体" w:hAnsi="宋体" w:hint="eastAsia"/>
          <w:szCs w:val="21"/>
        </w:rPr>
        <w:t>日</w:t>
      </w:r>
    </w:p>
    <w:sectPr w:rsidR="00FA6DC2" w:rsidSect="00FA6D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CF406E"/>
    <w:rsid w:val="00000DCE"/>
    <w:rsid w:val="00005AF4"/>
    <w:rsid w:val="00012341"/>
    <w:rsid w:val="00025792"/>
    <w:rsid w:val="000369D4"/>
    <w:rsid w:val="00037FB3"/>
    <w:rsid w:val="00043D70"/>
    <w:rsid w:val="0004633C"/>
    <w:rsid w:val="00047FBA"/>
    <w:rsid w:val="00052756"/>
    <w:rsid w:val="00061F6C"/>
    <w:rsid w:val="000660AE"/>
    <w:rsid w:val="000727C3"/>
    <w:rsid w:val="0008054E"/>
    <w:rsid w:val="00080922"/>
    <w:rsid w:val="00085A7E"/>
    <w:rsid w:val="00094B4D"/>
    <w:rsid w:val="000B13CB"/>
    <w:rsid w:val="000E7440"/>
    <w:rsid w:val="000F0B7B"/>
    <w:rsid w:val="000F2217"/>
    <w:rsid w:val="00105617"/>
    <w:rsid w:val="001127F3"/>
    <w:rsid w:val="0011519B"/>
    <w:rsid w:val="00115FAA"/>
    <w:rsid w:val="00126128"/>
    <w:rsid w:val="0012643B"/>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1D3958"/>
    <w:rsid w:val="00201652"/>
    <w:rsid w:val="00204A36"/>
    <w:rsid w:val="00207D86"/>
    <w:rsid w:val="0021061C"/>
    <w:rsid w:val="00215240"/>
    <w:rsid w:val="0022068E"/>
    <w:rsid w:val="0022148E"/>
    <w:rsid w:val="00222F28"/>
    <w:rsid w:val="00225445"/>
    <w:rsid w:val="00234F06"/>
    <w:rsid w:val="00237214"/>
    <w:rsid w:val="0024069B"/>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7EA2"/>
    <w:rsid w:val="00431F0D"/>
    <w:rsid w:val="004335FF"/>
    <w:rsid w:val="00433BC4"/>
    <w:rsid w:val="00444A5D"/>
    <w:rsid w:val="004655DC"/>
    <w:rsid w:val="00467FB7"/>
    <w:rsid w:val="004816EE"/>
    <w:rsid w:val="00484E49"/>
    <w:rsid w:val="00484F24"/>
    <w:rsid w:val="00491FC3"/>
    <w:rsid w:val="0049227D"/>
    <w:rsid w:val="004950C1"/>
    <w:rsid w:val="004B1C36"/>
    <w:rsid w:val="004B5D60"/>
    <w:rsid w:val="004D0CDC"/>
    <w:rsid w:val="004D4883"/>
    <w:rsid w:val="004D61E1"/>
    <w:rsid w:val="004D64F3"/>
    <w:rsid w:val="004D6A49"/>
    <w:rsid w:val="004E19D1"/>
    <w:rsid w:val="004E2796"/>
    <w:rsid w:val="004F448D"/>
    <w:rsid w:val="00503C58"/>
    <w:rsid w:val="005442AC"/>
    <w:rsid w:val="00544DE8"/>
    <w:rsid w:val="0058454F"/>
    <w:rsid w:val="00585F0C"/>
    <w:rsid w:val="00594F71"/>
    <w:rsid w:val="00596370"/>
    <w:rsid w:val="005A16C3"/>
    <w:rsid w:val="005A37E0"/>
    <w:rsid w:val="005E2AD6"/>
    <w:rsid w:val="005E5DE7"/>
    <w:rsid w:val="005F1228"/>
    <w:rsid w:val="005F2555"/>
    <w:rsid w:val="005F7FB3"/>
    <w:rsid w:val="006009FD"/>
    <w:rsid w:val="00606ED8"/>
    <w:rsid w:val="006079F0"/>
    <w:rsid w:val="006130AC"/>
    <w:rsid w:val="0062278C"/>
    <w:rsid w:val="00625FDD"/>
    <w:rsid w:val="00633C77"/>
    <w:rsid w:val="00637398"/>
    <w:rsid w:val="00645779"/>
    <w:rsid w:val="00652407"/>
    <w:rsid w:val="00652D51"/>
    <w:rsid w:val="00664607"/>
    <w:rsid w:val="00664E75"/>
    <w:rsid w:val="0067143A"/>
    <w:rsid w:val="00683E08"/>
    <w:rsid w:val="00692FEB"/>
    <w:rsid w:val="006B207B"/>
    <w:rsid w:val="006B7CD6"/>
    <w:rsid w:val="006C078F"/>
    <w:rsid w:val="006E5337"/>
    <w:rsid w:val="006E72B7"/>
    <w:rsid w:val="006E7828"/>
    <w:rsid w:val="006E7854"/>
    <w:rsid w:val="006F009B"/>
    <w:rsid w:val="006F009E"/>
    <w:rsid w:val="006F057B"/>
    <w:rsid w:val="006F1399"/>
    <w:rsid w:val="006F6DA6"/>
    <w:rsid w:val="00705315"/>
    <w:rsid w:val="007308C1"/>
    <w:rsid w:val="00741EB0"/>
    <w:rsid w:val="00750489"/>
    <w:rsid w:val="007515C7"/>
    <w:rsid w:val="007828FC"/>
    <w:rsid w:val="007831A1"/>
    <w:rsid w:val="007847CF"/>
    <w:rsid w:val="00784A02"/>
    <w:rsid w:val="007918F3"/>
    <w:rsid w:val="00795E72"/>
    <w:rsid w:val="00796232"/>
    <w:rsid w:val="00796879"/>
    <w:rsid w:val="00796C0D"/>
    <w:rsid w:val="007A142D"/>
    <w:rsid w:val="007A6105"/>
    <w:rsid w:val="007B5085"/>
    <w:rsid w:val="007C0699"/>
    <w:rsid w:val="007C1F11"/>
    <w:rsid w:val="007C2787"/>
    <w:rsid w:val="007D006C"/>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28E8"/>
    <w:rsid w:val="008E450D"/>
    <w:rsid w:val="008F4551"/>
    <w:rsid w:val="008F635C"/>
    <w:rsid w:val="008F6467"/>
    <w:rsid w:val="008F70F0"/>
    <w:rsid w:val="00906B9C"/>
    <w:rsid w:val="00912C4A"/>
    <w:rsid w:val="00912F82"/>
    <w:rsid w:val="0091612F"/>
    <w:rsid w:val="0092064A"/>
    <w:rsid w:val="00920F3A"/>
    <w:rsid w:val="00951CEE"/>
    <w:rsid w:val="00963958"/>
    <w:rsid w:val="00981549"/>
    <w:rsid w:val="00987028"/>
    <w:rsid w:val="009902F4"/>
    <w:rsid w:val="009A1629"/>
    <w:rsid w:val="009A5370"/>
    <w:rsid w:val="009A5821"/>
    <w:rsid w:val="009B6CF9"/>
    <w:rsid w:val="009C6203"/>
    <w:rsid w:val="009D4E1D"/>
    <w:rsid w:val="009D5D8C"/>
    <w:rsid w:val="009E21AB"/>
    <w:rsid w:val="009E2A00"/>
    <w:rsid w:val="00A160F9"/>
    <w:rsid w:val="00A1643B"/>
    <w:rsid w:val="00A306F5"/>
    <w:rsid w:val="00A44EFE"/>
    <w:rsid w:val="00A460DE"/>
    <w:rsid w:val="00A47DF4"/>
    <w:rsid w:val="00A47F86"/>
    <w:rsid w:val="00A50004"/>
    <w:rsid w:val="00A5373C"/>
    <w:rsid w:val="00A60C5C"/>
    <w:rsid w:val="00A702E2"/>
    <w:rsid w:val="00A74A67"/>
    <w:rsid w:val="00A76556"/>
    <w:rsid w:val="00A83D58"/>
    <w:rsid w:val="00A83E76"/>
    <w:rsid w:val="00A87F5C"/>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72998"/>
    <w:rsid w:val="00B86126"/>
    <w:rsid w:val="00BA1C0C"/>
    <w:rsid w:val="00BA68B7"/>
    <w:rsid w:val="00BB0D0E"/>
    <w:rsid w:val="00BB0ED4"/>
    <w:rsid w:val="00BB0F9C"/>
    <w:rsid w:val="00BB49B7"/>
    <w:rsid w:val="00BB4D1D"/>
    <w:rsid w:val="00BC3A9A"/>
    <w:rsid w:val="00BC4DC9"/>
    <w:rsid w:val="00BE0970"/>
    <w:rsid w:val="00BE2BFB"/>
    <w:rsid w:val="00BE543D"/>
    <w:rsid w:val="00BF1CAB"/>
    <w:rsid w:val="00BF4713"/>
    <w:rsid w:val="00C038DA"/>
    <w:rsid w:val="00C041CE"/>
    <w:rsid w:val="00C05D47"/>
    <w:rsid w:val="00C068B9"/>
    <w:rsid w:val="00C25AFE"/>
    <w:rsid w:val="00C260FC"/>
    <w:rsid w:val="00C33EA7"/>
    <w:rsid w:val="00C4714D"/>
    <w:rsid w:val="00C56D24"/>
    <w:rsid w:val="00C73E8B"/>
    <w:rsid w:val="00C73F04"/>
    <w:rsid w:val="00C74E70"/>
    <w:rsid w:val="00C76DB5"/>
    <w:rsid w:val="00C83E2E"/>
    <w:rsid w:val="00C877F0"/>
    <w:rsid w:val="00C915B4"/>
    <w:rsid w:val="00C96CB3"/>
    <w:rsid w:val="00CA0A77"/>
    <w:rsid w:val="00CA3EA4"/>
    <w:rsid w:val="00CC635C"/>
    <w:rsid w:val="00CD08E1"/>
    <w:rsid w:val="00CD266F"/>
    <w:rsid w:val="00CD3787"/>
    <w:rsid w:val="00CD4F1C"/>
    <w:rsid w:val="00CE1784"/>
    <w:rsid w:val="00CF148E"/>
    <w:rsid w:val="00CF1E1C"/>
    <w:rsid w:val="00CF406E"/>
    <w:rsid w:val="00CF6116"/>
    <w:rsid w:val="00CF777C"/>
    <w:rsid w:val="00D03EAE"/>
    <w:rsid w:val="00D11E9F"/>
    <w:rsid w:val="00D22A3D"/>
    <w:rsid w:val="00D2391A"/>
    <w:rsid w:val="00D31041"/>
    <w:rsid w:val="00D354E5"/>
    <w:rsid w:val="00D40C1B"/>
    <w:rsid w:val="00D451F3"/>
    <w:rsid w:val="00D55100"/>
    <w:rsid w:val="00D55224"/>
    <w:rsid w:val="00D71397"/>
    <w:rsid w:val="00D74696"/>
    <w:rsid w:val="00D7582A"/>
    <w:rsid w:val="00D8215B"/>
    <w:rsid w:val="00D82DDA"/>
    <w:rsid w:val="00DA011C"/>
    <w:rsid w:val="00DA416E"/>
    <w:rsid w:val="00DA60D6"/>
    <w:rsid w:val="00DB735C"/>
    <w:rsid w:val="00DC7286"/>
    <w:rsid w:val="00DD1D9D"/>
    <w:rsid w:val="00DE76E3"/>
    <w:rsid w:val="00DF3306"/>
    <w:rsid w:val="00DF5EDC"/>
    <w:rsid w:val="00E01206"/>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420"/>
    <w:rsid w:val="00E97577"/>
    <w:rsid w:val="00E97593"/>
    <w:rsid w:val="00EA10D9"/>
    <w:rsid w:val="00EE30B5"/>
    <w:rsid w:val="00EE34FF"/>
    <w:rsid w:val="00EE3934"/>
    <w:rsid w:val="00EE5F9C"/>
    <w:rsid w:val="00EE60AD"/>
    <w:rsid w:val="00EE7C27"/>
    <w:rsid w:val="00EE7E26"/>
    <w:rsid w:val="00EF34A9"/>
    <w:rsid w:val="00EF627C"/>
    <w:rsid w:val="00F01A08"/>
    <w:rsid w:val="00F027B7"/>
    <w:rsid w:val="00F057BF"/>
    <w:rsid w:val="00F07DFE"/>
    <w:rsid w:val="00F12CD0"/>
    <w:rsid w:val="00F204AE"/>
    <w:rsid w:val="00F227EF"/>
    <w:rsid w:val="00F336A3"/>
    <w:rsid w:val="00F34289"/>
    <w:rsid w:val="00F37DD6"/>
    <w:rsid w:val="00F40B7F"/>
    <w:rsid w:val="00F41665"/>
    <w:rsid w:val="00F4384A"/>
    <w:rsid w:val="00F6668F"/>
    <w:rsid w:val="00F7726C"/>
    <w:rsid w:val="00F77299"/>
    <w:rsid w:val="00F8237E"/>
    <w:rsid w:val="00F86341"/>
    <w:rsid w:val="00F92D27"/>
    <w:rsid w:val="00F9571C"/>
    <w:rsid w:val="00F96371"/>
    <w:rsid w:val="00FA6DC2"/>
    <w:rsid w:val="00FB4711"/>
    <w:rsid w:val="00FC09B7"/>
    <w:rsid w:val="00FC1AF4"/>
    <w:rsid w:val="00FE299E"/>
    <w:rsid w:val="4D582BBE"/>
    <w:rsid w:val="5247662A"/>
    <w:rsid w:val="54344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DC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FA6DC2"/>
    <w:pPr>
      <w:jc w:val="left"/>
    </w:pPr>
  </w:style>
  <w:style w:type="paragraph" w:styleId="a4">
    <w:name w:val="Balloon Text"/>
    <w:basedOn w:val="a"/>
    <w:link w:val="Char"/>
    <w:uiPriority w:val="99"/>
    <w:semiHidden/>
    <w:unhideWhenUsed/>
    <w:qFormat/>
    <w:rsid w:val="00FA6DC2"/>
    <w:rPr>
      <w:sz w:val="18"/>
      <w:szCs w:val="18"/>
    </w:rPr>
  </w:style>
  <w:style w:type="paragraph" w:styleId="a5">
    <w:name w:val="footer"/>
    <w:basedOn w:val="a"/>
    <w:link w:val="Char0"/>
    <w:uiPriority w:val="99"/>
    <w:unhideWhenUsed/>
    <w:rsid w:val="00FA6DC2"/>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FA6DC2"/>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qFormat/>
    <w:rsid w:val="00FA6DC2"/>
    <w:rPr>
      <w:b/>
      <w:bCs/>
    </w:rPr>
  </w:style>
  <w:style w:type="character" w:styleId="a8">
    <w:name w:val="Hyperlink"/>
    <w:qFormat/>
    <w:rsid w:val="00FA6DC2"/>
    <w:rPr>
      <w:color w:val="0000FF"/>
      <w:u w:val="single"/>
    </w:rPr>
  </w:style>
  <w:style w:type="character" w:styleId="a9">
    <w:name w:val="annotation reference"/>
    <w:basedOn w:val="a0"/>
    <w:semiHidden/>
    <w:qFormat/>
    <w:rsid w:val="00FA6DC2"/>
    <w:rPr>
      <w:sz w:val="21"/>
      <w:szCs w:val="21"/>
    </w:rPr>
  </w:style>
  <w:style w:type="character" w:customStyle="1" w:styleId="Char1">
    <w:name w:val="页眉 Char"/>
    <w:link w:val="a6"/>
    <w:uiPriority w:val="99"/>
    <w:qFormat/>
    <w:rsid w:val="00FA6DC2"/>
    <w:rPr>
      <w:sz w:val="18"/>
      <w:szCs w:val="18"/>
    </w:rPr>
  </w:style>
  <w:style w:type="character" w:customStyle="1" w:styleId="Char0">
    <w:name w:val="页脚 Char"/>
    <w:link w:val="a5"/>
    <w:uiPriority w:val="99"/>
    <w:qFormat/>
    <w:rsid w:val="00FA6DC2"/>
    <w:rPr>
      <w:sz w:val="18"/>
      <w:szCs w:val="18"/>
    </w:rPr>
  </w:style>
  <w:style w:type="paragraph" w:styleId="aa">
    <w:name w:val="List Paragraph"/>
    <w:basedOn w:val="a"/>
    <w:uiPriority w:val="34"/>
    <w:qFormat/>
    <w:rsid w:val="00FA6DC2"/>
    <w:pPr>
      <w:ind w:firstLineChars="200" w:firstLine="420"/>
    </w:pPr>
  </w:style>
  <w:style w:type="character" w:customStyle="1" w:styleId="Char">
    <w:name w:val="批注框文本 Char"/>
    <w:basedOn w:val="a0"/>
    <w:link w:val="a4"/>
    <w:uiPriority w:val="99"/>
    <w:semiHidden/>
    <w:qFormat/>
    <w:rsid w:val="00FA6DC2"/>
    <w:rPr>
      <w:kern w:val="2"/>
      <w:sz w:val="18"/>
      <w:szCs w:val="18"/>
    </w:rPr>
  </w:style>
  <w:style w:type="paragraph" w:customStyle="1" w:styleId="Char2">
    <w:name w:val="Char2"/>
    <w:basedOn w:val="a"/>
    <w:qFormat/>
    <w:rsid w:val="00FA6DC2"/>
    <w:pPr>
      <w:widowControl/>
      <w:spacing w:after="160" w:line="240" w:lineRule="exact"/>
      <w:jc w:val="left"/>
    </w:pPr>
    <w:rPr>
      <w:rFonts w:ascii="Arial" w:hAnsi="Arial"/>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4</DocSecurity>
  <Lines>13</Lines>
  <Paragraphs>3</Paragraphs>
  <ScaleCrop>false</ScaleCrop>
  <Company>中国平安保险(集团)股份有限公司</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2025-07-10T16:01:00Z</dcterms:created>
  <dcterms:modified xsi:type="dcterms:W3CDTF">2025-07-10T16:01:00Z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633495EE2794483EB2B18A4439738E17_12</vt:lpwstr>
  </property>
</Properties>
</file>