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宋体" w:hAnsi="宋体" w:cs="宋体"/>
          <w:b/>
          <w:bCs/>
          <w:color w:val="000000"/>
          <w:kern w:val="36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关于</w:t>
      </w:r>
      <w:bookmarkStart w:id="0" w:name="OLE_LINK2"/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安信现金增利货币市场基金</w:t>
      </w: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等</w:t>
      </w: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30</w:t>
      </w: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只基金</w:t>
      </w:r>
      <w:bookmarkEnd w:id="0"/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新增中国邮政储蓄银行股份有限公司为基金销售服务机构的公告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</w:pP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根据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安信基金管理有限责任公司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(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以下简称“本公司”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)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与中国邮政储蓄银行股份有限公司</w:t>
      </w:r>
      <w:r>
        <w:rPr>
          <w:rFonts w:ascii="宋体" w:hAnsi="宋体" w:cs="宋体"/>
          <w:color w:val="000000"/>
          <w:kern w:val="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以下</w:t>
      </w:r>
      <w:r>
        <w:rPr>
          <w:rFonts w:ascii="宋体" w:hAnsi="宋体" w:cs="宋体"/>
          <w:color w:val="000000"/>
          <w:kern w:val="0"/>
          <w:sz w:val="24"/>
          <w:szCs w:val="24"/>
        </w:rPr>
        <w:t>简称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bookmarkStart w:id="1" w:name="OLE_LINK1"/>
      <w:r>
        <w:rPr>
          <w:rFonts w:ascii="宋体" w:hAnsi="宋体" w:cs="宋体" w:hint="eastAsia"/>
          <w:color w:val="000000"/>
          <w:kern w:val="0"/>
          <w:sz w:val="24"/>
          <w:szCs w:val="24"/>
        </w:rPr>
        <w:t>邮储银行</w:t>
      </w:r>
      <w:bookmarkEnd w:id="1"/>
      <w:r>
        <w:rPr>
          <w:rFonts w:ascii="宋体" w:hAnsi="宋体" w:cs="宋体"/>
          <w:color w:val="000000"/>
          <w:kern w:val="0"/>
          <w:sz w:val="24"/>
          <w:szCs w:val="24"/>
        </w:rPr>
        <w:t>”</w:t>
      </w:r>
      <w:r>
        <w:rPr>
          <w:rFonts w:ascii="宋体" w:hAnsi="宋体" w:cs="宋体"/>
          <w:color w:val="000000"/>
          <w:kern w:val="0"/>
          <w:sz w:val="24"/>
          <w:szCs w:val="24"/>
        </w:rPr>
        <w:t>）签署的销售代理协议，本公司决定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新增邮储银行为安信现金增利货币市场基金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30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只基金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的销售服务机构。</w:t>
      </w:r>
      <w:r>
        <w:rPr>
          <w:rFonts w:ascii="宋体" w:hAnsi="宋体" w:cs="宋体"/>
          <w:color w:val="000000"/>
          <w:kern w:val="0"/>
          <w:sz w:val="24"/>
          <w:szCs w:val="24"/>
        </w:rPr>
        <w:t>投资者自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  <w:r>
        <w:rPr>
          <w:rFonts w:ascii="宋体" w:hAnsi="宋体" w:cs="宋体"/>
          <w:color w:val="000000"/>
          <w:kern w:val="0"/>
          <w:sz w:val="24"/>
          <w:szCs w:val="24"/>
        </w:rPr>
        <w:t>起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可在邮储银行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办理上述基金的开户、认购、申购、赎回、定期定额投资、转换等业务。如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上述基金尚未开放、暂停办理对应业务或对其进行限制的，请遵照相关公告执行。</w:t>
      </w:r>
      <w:r>
        <w:rPr>
          <w:rFonts w:ascii="宋体" w:hAnsi="宋体" w:cs="宋体"/>
          <w:color w:val="000000"/>
          <w:kern w:val="0"/>
          <w:sz w:val="24"/>
          <w:szCs w:val="24"/>
        </w:rPr>
        <w:cr/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一、适用基金：</w:t>
      </w:r>
    </w:p>
    <w:tbl>
      <w:tblPr>
        <w:tblStyle w:val="a"/>
        <w:tblW w:w="71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36"/>
        <w:gridCol w:w="2292"/>
      </w:tblGrid>
      <w:tr w:rsidR="00000000">
        <w:trPr>
          <w:trHeight w:val="560"/>
        </w:trPr>
        <w:tc>
          <w:tcPr>
            <w:tcW w:w="4848" w:type="dxa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  <w:tc>
          <w:tcPr>
            <w:tcW w:w="2292" w:type="dxa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代码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安信现金增利货币市场基金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000750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B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003539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安信宝利债券型证券投资基金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(LOF)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D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167501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020738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安信尊享添益债券型证券投资基金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005678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007099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021439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021440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021332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021347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020391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020392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安信鑫日享中短债债券型证券投资基金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007245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0072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46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安信中证同业存单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AAA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天持有期证券投资基金</w:t>
            </w:r>
          </w:p>
        </w:tc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018355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安信目标收益债券型证券投资基金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750002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750003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安信鑫安得利灵活配置混合型证券投资基金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001399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001400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安信新趋势灵活配置混合型证券投资基金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001710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001711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安信稳健增值灵活配置混合型证券投资基金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001316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001338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安信民安回报一年持有期混合型证券投资基金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012701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012702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008809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08810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安信恒利增强债券型证券投资基金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005271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005272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安信聚利增强债券型证券投资基金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006839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006840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安信永鑫增强债券型证券投资基金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003637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003638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015978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015979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012256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012257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安信新目标灵活配置混合型证券投资基金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003030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003031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安信上证科创板综合指数增强型发起式证券投资基金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023908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023909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023501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023502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安信量化精选沪深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003957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003958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安信策略精选灵活配置混合型证券投资基金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750001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023177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安信优势增长灵活配置混合型证券投资基金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001287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002036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安信新回报灵活配置混合型证券投资基金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002770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002771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安信价值精选股票型证券投资基金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000577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023178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001583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011726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010709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010710</w:t>
            </w:r>
          </w:p>
        </w:tc>
      </w:tr>
      <w:tr w:rsidR="00000000">
        <w:trPr>
          <w:trHeight w:val="560"/>
        </w:trPr>
        <w:tc>
          <w:tcPr>
            <w:tcW w:w="0" w:type="auto"/>
            <w:noWrap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</w:p>
        </w:tc>
        <w:tc>
          <w:tcPr>
            <w:tcW w:w="2292" w:type="dxa"/>
            <w:vAlign w:val="center"/>
          </w:tcPr>
          <w:p w:rsidR="00000000" w:rsidRDefault="006126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A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008891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br/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C</w:t>
            </w:r>
            <w:r>
              <w:rPr>
                <w:rStyle w:val="font21"/>
                <w:rFonts w:hint="default"/>
                <w:sz w:val="24"/>
                <w:szCs w:val="24"/>
                <w:lang/>
              </w:rPr>
              <w:t>类</w:t>
            </w:r>
            <w:r>
              <w:rPr>
                <w:rStyle w:val="font11"/>
                <w:rFonts w:ascii="宋体" w:hAnsi="宋体" w:cs="宋体" w:hint="eastAsia"/>
                <w:sz w:val="24"/>
                <w:szCs w:val="24"/>
                <w:lang/>
              </w:rPr>
              <w:t>008892</w:t>
            </w:r>
          </w:p>
        </w:tc>
      </w:tr>
    </w:tbl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>
        <w:rPr>
          <w:rFonts w:ascii="宋体" w:hAnsi="宋体" w:cs="Calibri" w:hint="eastAsia"/>
          <w:color w:val="000000"/>
          <w:kern w:val="0"/>
          <w:sz w:val="24"/>
          <w:szCs w:val="24"/>
        </w:rPr>
        <w:t>二、</w:t>
      </w:r>
      <w:r>
        <w:rPr>
          <w:rFonts w:ascii="宋体" w:hAnsi="宋体" w:cs="Calibri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重要提示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投资者在邮储银行办理上述基金投资业务，具体办理规则及程序请遵循上述机构的规定。上述基金可参与上述机构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开展</w:t>
      </w:r>
      <w:r>
        <w:rPr>
          <w:rFonts w:ascii="宋体" w:hAnsi="宋体" w:cs="Calibri"/>
          <w:color w:val="000000"/>
          <w:kern w:val="0"/>
          <w:sz w:val="24"/>
          <w:szCs w:val="24"/>
        </w:rPr>
        <w:t>的费率优惠活动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，届时请以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销售机构公告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为准，本公司不再另行公告。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投资者欲了解上述基金产品的详细情况，请仔细阅读刊登于本公司网站（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www.essencefund.com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）的相关基金《基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金合同》、《招募说明书》等法律文件及相关业务公告。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Calibri" w:hint="eastAsia"/>
          <w:color w:val="000000"/>
          <w:kern w:val="0"/>
          <w:sz w:val="24"/>
          <w:szCs w:val="24"/>
        </w:rPr>
      </w:pP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1E1E1E"/>
          <w:kern w:val="0"/>
          <w:sz w:val="24"/>
          <w:szCs w:val="24"/>
        </w:rPr>
        <w:t>三、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投资者可通过以下渠道咨询详情：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、安信基金管理有限责任公司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住所：深圳市福田区福田街道福安社区福华一路</w:t>
      </w:r>
      <w:r>
        <w:rPr>
          <w:rFonts w:ascii="宋体" w:hAnsi="宋体" w:cs="宋体" w:hint="eastAsia"/>
          <w:kern w:val="0"/>
          <w:sz w:val="24"/>
          <w:szCs w:val="24"/>
        </w:rPr>
        <w:t>119</w:t>
      </w:r>
      <w:r>
        <w:rPr>
          <w:rFonts w:ascii="宋体" w:hAnsi="宋体" w:cs="宋体" w:hint="eastAsia"/>
          <w:kern w:val="0"/>
          <w:sz w:val="24"/>
          <w:szCs w:val="24"/>
        </w:rPr>
        <w:t>号安信金融大厦</w:t>
      </w:r>
      <w:r>
        <w:rPr>
          <w:rFonts w:ascii="宋体" w:hAnsi="宋体" w:cs="宋体" w:hint="eastAsia"/>
          <w:kern w:val="0"/>
          <w:sz w:val="24"/>
          <w:szCs w:val="24"/>
        </w:rPr>
        <w:t>29</w:t>
      </w:r>
      <w:r>
        <w:rPr>
          <w:rFonts w:ascii="宋体" w:hAnsi="宋体" w:cs="宋体" w:hint="eastAsia"/>
          <w:kern w:val="0"/>
          <w:sz w:val="24"/>
          <w:szCs w:val="24"/>
        </w:rPr>
        <w:t>楼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客户服务电话：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4008-088-088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hint="eastAsia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网站：</w:t>
      </w:r>
      <w:hyperlink r:id="rId5" w:history="1"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www.essencefund.com</w:t>
        </w:r>
      </w:hyperlink>
    </w:p>
    <w:p w:rsidR="00000000" w:rsidRDefault="0061262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中国邮政储蓄银行股份有限公司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住所：北京市西城区金融大街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号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客户服务电话：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95580</w:t>
      </w:r>
    </w:p>
    <w:p w:rsidR="00000000" w:rsidRDefault="00612628">
      <w:pPr>
        <w:pStyle w:val="a0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网站：</w:t>
      </w:r>
      <w:bookmarkStart w:id="2" w:name="OLE_LINK3"/>
      <w:r>
        <w:rPr>
          <w:rFonts w:ascii="宋体" w:hAnsi="宋体" w:cs="宋体" w:hint="eastAsia"/>
          <w:color w:val="000000"/>
          <w:kern w:val="0"/>
          <w:sz w:val="24"/>
          <w:szCs w:val="24"/>
        </w:rPr>
        <w:t>www.psbc.com</w:t>
      </w:r>
      <w:bookmarkEnd w:id="2"/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风险提示：本公司承诺以诚实信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特此公告。</w:t>
      </w:r>
    </w:p>
    <w:p w:rsidR="00000000" w:rsidRDefault="00612628">
      <w:pPr>
        <w:pStyle w:val="a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000000" w:rsidRDefault="00612628">
      <w:pPr>
        <w:pStyle w:val="a0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安信</w:t>
      </w:r>
      <w:r>
        <w:rPr>
          <w:rFonts w:ascii="宋体" w:hAnsi="宋体" w:cs="宋体"/>
          <w:color w:val="000000"/>
          <w:kern w:val="0"/>
          <w:sz w:val="24"/>
          <w:szCs w:val="24"/>
        </w:rPr>
        <w:t>基金管理有限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责任</w:t>
      </w:r>
      <w:r>
        <w:rPr>
          <w:rFonts w:ascii="宋体" w:hAnsi="宋体" w:cs="宋体"/>
          <w:color w:val="000000"/>
          <w:kern w:val="0"/>
          <w:sz w:val="24"/>
          <w:szCs w:val="24"/>
        </w:rPr>
        <w:t>公司</w:t>
      </w:r>
    </w:p>
    <w:p w:rsidR="00000000" w:rsidRDefault="0061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cs="宋体"/>
          <w:color w:val="000000"/>
          <w:kern w:val="0"/>
          <w:sz w:val="24"/>
          <w:szCs w:val="24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FA6EB"/>
    <w:multiLevelType w:val="singleLevel"/>
    <w:tmpl w:val="9A7FA6E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I1NGQ4MDY4NjMxYWVlMzc3ODM2NDE0MmU1ODUxYzYifQ=="/>
    <w:docVar w:name="KSO_WPS_MARK_KEY" w:val="3646a2ac-e9a5-4452-b83c-2395fa559dfe"/>
  </w:docVars>
  <w:rsids>
    <w:rsidRoot w:val="006F7B63"/>
    <w:rsid w:val="00007694"/>
    <w:rsid w:val="00013E77"/>
    <w:rsid w:val="000212FB"/>
    <w:rsid w:val="00021711"/>
    <w:rsid w:val="000264E8"/>
    <w:rsid w:val="00033233"/>
    <w:rsid w:val="00041A92"/>
    <w:rsid w:val="00044729"/>
    <w:rsid w:val="00056D27"/>
    <w:rsid w:val="0006040A"/>
    <w:rsid w:val="000616FD"/>
    <w:rsid w:val="00065DD1"/>
    <w:rsid w:val="00070748"/>
    <w:rsid w:val="00073FC9"/>
    <w:rsid w:val="000747CE"/>
    <w:rsid w:val="000761CE"/>
    <w:rsid w:val="00095539"/>
    <w:rsid w:val="000A1818"/>
    <w:rsid w:val="000A6FE5"/>
    <w:rsid w:val="000B21D2"/>
    <w:rsid w:val="000B56E4"/>
    <w:rsid w:val="000C4694"/>
    <w:rsid w:val="000D4293"/>
    <w:rsid w:val="000D5316"/>
    <w:rsid w:val="000F3D8D"/>
    <w:rsid w:val="000F6956"/>
    <w:rsid w:val="000F7C74"/>
    <w:rsid w:val="00101D76"/>
    <w:rsid w:val="001027BA"/>
    <w:rsid w:val="00103B2E"/>
    <w:rsid w:val="00121EFC"/>
    <w:rsid w:val="001367EA"/>
    <w:rsid w:val="00150684"/>
    <w:rsid w:val="00150D1F"/>
    <w:rsid w:val="001548A3"/>
    <w:rsid w:val="0016075D"/>
    <w:rsid w:val="00161064"/>
    <w:rsid w:val="001644CE"/>
    <w:rsid w:val="00166058"/>
    <w:rsid w:val="00176295"/>
    <w:rsid w:val="00177005"/>
    <w:rsid w:val="00183C61"/>
    <w:rsid w:val="0018785C"/>
    <w:rsid w:val="00194278"/>
    <w:rsid w:val="00197343"/>
    <w:rsid w:val="001A3C5F"/>
    <w:rsid w:val="001A466B"/>
    <w:rsid w:val="001A4EC2"/>
    <w:rsid w:val="001A56B1"/>
    <w:rsid w:val="001A6AC5"/>
    <w:rsid w:val="001A6CCC"/>
    <w:rsid w:val="001A7D68"/>
    <w:rsid w:val="001B47EA"/>
    <w:rsid w:val="001C0A6C"/>
    <w:rsid w:val="001C14EE"/>
    <w:rsid w:val="001D4C31"/>
    <w:rsid w:val="001E7F86"/>
    <w:rsid w:val="001F0985"/>
    <w:rsid w:val="001F5BA2"/>
    <w:rsid w:val="002002E7"/>
    <w:rsid w:val="00214886"/>
    <w:rsid w:val="00220850"/>
    <w:rsid w:val="00220AA6"/>
    <w:rsid w:val="0022238F"/>
    <w:rsid w:val="00223A06"/>
    <w:rsid w:val="0022476A"/>
    <w:rsid w:val="00227A24"/>
    <w:rsid w:val="0023204A"/>
    <w:rsid w:val="002329C8"/>
    <w:rsid w:val="00236581"/>
    <w:rsid w:val="00250104"/>
    <w:rsid w:val="002601DF"/>
    <w:rsid w:val="002632F2"/>
    <w:rsid w:val="00270888"/>
    <w:rsid w:val="00271962"/>
    <w:rsid w:val="00272E70"/>
    <w:rsid w:val="002741F2"/>
    <w:rsid w:val="00275CCA"/>
    <w:rsid w:val="0027672C"/>
    <w:rsid w:val="00280364"/>
    <w:rsid w:val="0028088F"/>
    <w:rsid w:val="0028531D"/>
    <w:rsid w:val="00285EF7"/>
    <w:rsid w:val="00290437"/>
    <w:rsid w:val="002929F0"/>
    <w:rsid w:val="002953F1"/>
    <w:rsid w:val="002B4018"/>
    <w:rsid w:val="002B40BC"/>
    <w:rsid w:val="002C154B"/>
    <w:rsid w:val="002C2992"/>
    <w:rsid w:val="002C3F9F"/>
    <w:rsid w:val="002C6322"/>
    <w:rsid w:val="002E021C"/>
    <w:rsid w:val="002E28BB"/>
    <w:rsid w:val="002E5B10"/>
    <w:rsid w:val="002F0873"/>
    <w:rsid w:val="002F31F8"/>
    <w:rsid w:val="00304B80"/>
    <w:rsid w:val="00307000"/>
    <w:rsid w:val="00330C52"/>
    <w:rsid w:val="00335042"/>
    <w:rsid w:val="003369F1"/>
    <w:rsid w:val="00336CF9"/>
    <w:rsid w:val="00340636"/>
    <w:rsid w:val="00350190"/>
    <w:rsid w:val="00351B84"/>
    <w:rsid w:val="00355BD6"/>
    <w:rsid w:val="003612F4"/>
    <w:rsid w:val="00365F09"/>
    <w:rsid w:val="00371E3C"/>
    <w:rsid w:val="003721E0"/>
    <w:rsid w:val="00383645"/>
    <w:rsid w:val="003871ED"/>
    <w:rsid w:val="00393463"/>
    <w:rsid w:val="003936EC"/>
    <w:rsid w:val="00394BE6"/>
    <w:rsid w:val="003A785D"/>
    <w:rsid w:val="003B0E10"/>
    <w:rsid w:val="003B3A79"/>
    <w:rsid w:val="003B5D92"/>
    <w:rsid w:val="003C1D3F"/>
    <w:rsid w:val="003C3448"/>
    <w:rsid w:val="003D04FA"/>
    <w:rsid w:val="003E1970"/>
    <w:rsid w:val="003E544D"/>
    <w:rsid w:val="003E5E74"/>
    <w:rsid w:val="003E726F"/>
    <w:rsid w:val="003F037B"/>
    <w:rsid w:val="003F252C"/>
    <w:rsid w:val="003F3F80"/>
    <w:rsid w:val="00405595"/>
    <w:rsid w:val="00434169"/>
    <w:rsid w:val="00436D7C"/>
    <w:rsid w:val="004449E3"/>
    <w:rsid w:val="0046697D"/>
    <w:rsid w:val="00473854"/>
    <w:rsid w:val="00474749"/>
    <w:rsid w:val="00475494"/>
    <w:rsid w:val="00476B7F"/>
    <w:rsid w:val="004810D2"/>
    <w:rsid w:val="00492635"/>
    <w:rsid w:val="0049292C"/>
    <w:rsid w:val="0049495E"/>
    <w:rsid w:val="004A17AB"/>
    <w:rsid w:val="004B3983"/>
    <w:rsid w:val="004B48D4"/>
    <w:rsid w:val="004D240C"/>
    <w:rsid w:val="004D3143"/>
    <w:rsid w:val="004D3F82"/>
    <w:rsid w:val="004D40E8"/>
    <w:rsid w:val="004E0CFF"/>
    <w:rsid w:val="004F0CAD"/>
    <w:rsid w:val="004F1986"/>
    <w:rsid w:val="004F3854"/>
    <w:rsid w:val="004F5454"/>
    <w:rsid w:val="00501F7A"/>
    <w:rsid w:val="0050754E"/>
    <w:rsid w:val="00516888"/>
    <w:rsid w:val="00522214"/>
    <w:rsid w:val="00523137"/>
    <w:rsid w:val="00527752"/>
    <w:rsid w:val="00530AD7"/>
    <w:rsid w:val="0055222F"/>
    <w:rsid w:val="00554C8F"/>
    <w:rsid w:val="005565E8"/>
    <w:rsid w:val="0055738A"/>
    <w:rsid w:val="00560D85"/>
    <w:rsid w:val="00563990"/>
    <w:rsid w:val="005654D6"/>
    <w:rsid w:val="00573A47"/>
    <w:rsid w:val="00580980"/>
    <w:rsid w:val="00583E99"/>
    <w:rsid w:val="00584000"/>
    <w:rsid w:val="00595C63"/>
    <w:rsid w:val="005961F2"/>
    <w:rsid w:val="00597DF6"/>
    <w:rsid w:val="005A4F64"/>
    <w:rsid w:val="005B586F"/>
    <w:rsid w:val="005D2910"/>
    <w:rsid w:val="005E0FAC"/>
    <w:rsid w:val="005E7AD7"/>
    <w:rsid w:val="005F0A08"/>
    <w:rsid w:val="005F6E28"/>
    <w:rsid w:val="006008D1"/>
    <w:rsid w:val="00605942"/>
    <w:rsid w:val="00612628"/>
    <w:rsid w:val="006170B6"/>
    <w:rsid w:val="00620844"/>
    <w:rsid w:val="0062209B"/>
    <w:rsid w:val="00623EDB"/>
    <w:rsid w:val="006263F3"/>
    <w:rsid w:val="00636B39"/>
    <w:rsid w:val="00636F72"/>
    <w:rsid w:val="00640214"/>
    <w:rsid w:val="00640918"/>
    <w:rsid w:val="00645808"/>
    <w:rsid w:val="00652ED0"/>
    <w:rsid w:val="0065352B"/>
    <w:rsid w:val="0066477B"/>
    <w:rsid w:val="006658E4"/>
    <w:rsid w:val="00676589"/>
    <w:rsid w:val="00677189"/>
    <w:rsid w:val="006804A8"/>
    <w:rsid w:val="00684922"/>
    <w:rsid w:val="00690571"/>
    <w:rsid w:val="00690825"/>
    <w:rsid w:val="0069320C"/>
    <w:rsid w:val="006A7B2D"/>
    <w:rsid w:val="006B2964"/>
    <w:rsid w:val="006B3091"/>
    <w:rsid w:val="006B3EEE"/>
    <w:rsid w:val="006B6B15"/>
    <w:rsid w:val="006B7C74"/>
    <w:rsid w:val="006C52AE"/>
    <w:rsid w:val="006D0D0F"/>
    <w:rsid w:val="006D31B5"/>
    <w:rsid w:val="006D4B01"/>
    <w:rsid w:val="006E351F"/>
    <w:rsid w:val="006E4FC6"/>
    <w:rsid w:val="006F0DF3"/>
    <w:rsid w:val="006F61B6"/>
    <w:rsid w:val="006F7B63"/>
    <w:rsid w:val="0071080D"/>
    <w:rsid w:val="007229C9"/>
    <w:rsid w:val="00723D92"/>
    <w:rsid w:val="007344B3"/>
    <w:rsid w:val="00740654"/>
    <w:rsid w:val="00746730"/>
    <w:rsid w:val="00752A9A"/>
    <w:rsid w:val="00757963"/>
    <w:rsid w:val="0076442E"/>
    <w:rsid w:val="0076467D"/>
    <w:rsid w:val="00775D16"/>
    <w:rsid w:val="0077676A"/>
    <w:rsid w:val="00777C77"/>
    <w:rsid w:val="0078110E"/>
    <w:rsid w:val="00781CD6"/>
    <w:rsid w:val="007844C6"/>
    <w:rsid w:val="007846F0"/>
    <w:rsid w:val="007A4C66"/>
    <w:rsid w:val="007A5DBD"/>
    <w:rsid w:val="007B5132"/>
    <w:rsid w:val="007B575A"/>
    <w:rsid w:val="007B71C8"/>
    <w:rsid w:val="007C05F3"/>
    <w:rsid w:val="007C1E61"/>
    <w:rsid w:val="007C38AF"/>
    <w:rsid w:val="007C39AB"/>
    <w:rsid w:val="007D6599"/>
    <w:rsid w:val="007E73F2"/>
    <w:rsid w:val="007F7B6C"/>
    <w:rsid w:val="0080169D"/>
    <w:rsid w:val="0080644F"/>
    <w:rsid w:val="00811708"/>
    <w:rsid w:val="0081542F"/>
    <w:rsid w:val="00820BB0"/>
    <w:rsid w:val="00821AA3"/>
    <w:rsid w:val="00822EBD"/>
    <w:rsid w:val="00824AC4"/>
    <w:rsid w:val="00825A30"/>
    <w:rsid w:val="00836FCB"/>
    <w:rsid w:val="00846DE7"/>
    <w:rsid w:val="008518EC"/>
    <w:rsid w:val="00867219"/>
    <w:rsid w:val="00867ABD"/>
    <w:rsid w:val="00870542"/>
    <w:rsid w:val="008739E8"/>
    <w:rsid w:val="00875745"/>
    <w:rsid w:val="00881B08"/>
    <w:rsid w:val="00882608"/>
    <w:rsid w:val="008875CE"/>
    <w:rsid w:val="00894E4D"/>
    <w:rsid w:val="008A30A1"/>
    <w:rsid w:val="008A42E1"/>
    <w:rsid w:val="008B438E"/>
    <w:rsid w:val="008D28AE"/>
    <w:rsid w:val="008E0103"/>
    <w:rsid w:val="008E0F28"/>
    <w:rsid w:val="008F43DC"/>
    <w:rsid w:val="008F5381"/>
    <w:rsid w:val="009017E8"/>
    <w:rsid w:val="00901A98"/>
    <w:rsid w:val="00915708"/>
    <w:rsid w:val="00920A45"/>
    <w:rsid w:val="00921F48"/>
    <w:rsid w:val="00930545"/>
    <w:rsid w:val="00945207"/>
    <w:rsid w:val="00955EAB"/>
    <w:rsid w:val="00960755"/>
    <w:rsid w:val="00974C2C"/>
    <w:rsid w:val="00985946"/>
    <w:rsid w:val="009870B7"/>
    <w:rsid w:val="00993E87"/>
    <w:rsid w:val="009976BD"/>
    <w:rsid w:val="009A7378"/>
    <w:rsid w:val="009B1C54"/>
    <w:rsid w:val="009B1EBB"/>
    <w:rsid w:val="009C5955"/>
    <w:rsid w:val="009D5711"/>
    <w:rsid w:val="009D6378"/>
    <w:rsid w:val="009D6B46"/>
    <w:rsid w:val="009E13C7"/>
    <w:rsid w:val="009E40B4"/>
    <w:rsid w:val="009F7DBC"/>
    <w:rsid w:val="00A00342"/>
    <w:rsid w:val="00A01CED"/>
    <w:rsid w:val="00A02F7F"/>
    <w:rsid w:val="00A03C2E"/>
    <w:rsid w:val="00A1294B"/>
    <w:rsid w:val="00A170B2"/>
    <w:rsid w:val="00A24808"/>
    <w:rsid w:val="00A25C7A"/>
    <w:rsid w:val="00A27D9D"/>
    <w:rsid w:val="00A31F85"/>
    <w:rsid w:val="00A327FE"/>
    <w:rsid w:val="00A74994"/>
    <w:rsid w:val="00A875C2"/>
    <w:rsid w:val="00AA10A6"/>
    <w:rsid w:val="00AC10D1"/>
    <w:rsid w:val="00AC1D02"/>
    <w:rsid w:val="00AC71E0"/>
    <w:rsid w:val="00AD0971"/>
    <w:rsid w:val="00AE1FD4"/>
    <w:rsid w:val="00AE21BD"/>
    <w:rsid w:val="00AE5D55"/>
    <w:rsid w:val="00B01A02"/>
    <w:rsid w:val="00B16CC3"/>
    <w:rsid w:val="00B22103"/>
    <w:rsid w:val="00B377FC"/>
    <w:rsid w:val="00B5037C"/>
    <w:rsid w:val="00B50964"/>
    <w:rsid w:val="00B606B9"/>
    <w:rsid w:val="00B63E39"/>
    <w:rsid w:val="00B6549D"/>
    <w:rsid w:val="00B71A6A"/>
    <w:rsid w:val="00B734F2"/>
    <w:rsid w:val="00B86E49"/>
    <w:rsid w:val="00B96366"/>
    <w:rsid w:val="00B963DC"/>
    <w:rsid w:val="00BA13CB"/>
    <w:rsid w:val="00BB1C71"/>
    <w:rsid w:val="00BB597D"/>
    <w:rsid w:val="00BC323E"/>
    <w:rsid w:val="00BC4669"/>
    <w:rsid w:val="00BC7DDE"/>
    <w:rsid w:val="00BD06BD"/>
    <w:rsid w:val="00BD31F0"/>
    <w:rsid w:val="00BD3F93"/>
    <w:rsid w:val="00BE35A0"/>
    <w:rsid w:val="00BE75AF"/>
    <w:rsid w:val="00BF63DF"/>
    <w:rsid w:val="00C04303"/>
    <w:rsid w:val="00C0742E"/>
    <w:rsid w:val="00C10899"/>
    <w:rsid w:val="00C11130"/>
    <w:rsid w:val="00C27F11"/>
    <w:rsid w:val="00C35021"/>
    <w:rsid w:val="00C36C69"/>
    <w:rsid w:val="00C40217"/>
    <w:rsid w:val="00C47030"/>
    <w:rsid w:val="00C52495"/>
    <w:rsid w:val="00C52DC5"/>
    <w:rsid w:val="00C75BC4"/>
    <w:rsid w:val="00C75DCC"/>
    <w:rsid w:val="00C762FE"/>
    <w:rsid w:val="00C76DD7"/>
    <w:rsid w:val="00C84685"/>
    <w:rsid w:val="00C850A2"/>
    <w:rsid w:val="00C85DA5"/>
    <w:rsid w:val="00C90782"/>
    <w:rsid w:val="00CA65E9"/>
    <w:rsid w:val="00CB5607"/>
    <w:rsid w:val="00CB7ECE"/>
    <w:rsid w:val="00CC1FC5"/>
    <w:rsid w:val="00CD01EC"/>
    <w:rsid w:val="00CD3BB1"/>
    <w:rsid w:val="00CD62F9"/>
    <w:rsid w:val="00CD731C"/>
    <w:rsid w:val="00CE52CA"/>
    <w:rsid w:val="00CF2DB0"/>
    <w:rsid w:val="00CF5E50"/>
    <w:rsid w:val="00CF697E"/>
    <w:rsid w:val="00D158D1"/>
    <w:rsid w:val="00D179A9"/>
    <w:rsid w:val="00D214B6"/>
    <w:rsid w:val="00D242D9"/>
    <w:rsid w:val="00D24B1D"/>
    <w:rsid w:val="00D24F80"/>
    <w:rsid w:val="00D35F78"/>
    <w:rsid w:val="00D5295E"/>
    <w:rsid w:val="00D55883"/>
    <w:rsid w:val="00D64014"/>
    <w:rsid w:val="00D666C3"/>
    <w:rsid w:val="00D67D74"/>
    <w:rsid w:val="00D67D98"/>
    <w:rsid w:val="00D952D1"/>
    <w:rsid w:val="00DC1FA6"/>
    <w:rsid w:val="00DC7DC3"/>
    <w:rsid w:val="00DD220D"/>
    <w:rsid w:val="00DD37FD"/>
    <w:rsid w:val="00DD56B1"/>
    <w:rsid w:val="00DD700C"/>
    <w:rsid w:val="00DE0757"/>
    <w:rsid w:val="00DE1218"/>
    <w:rsid w:val="00DE167D"/>
    <w:rsid w:val="00DE30EC"/>
    <w:rsid w:val="00DE491C"/>
    <w:rsid w:val="00DF0200"/>
    <w:rsid w:val="00DF5A0D"/>
    <w:rsid w:val="00E0366E"/>
    <w:rsid w:val="00E03D0B"/>
    <w:rsid w:val="00E04769"/>
    <w:rsid w:val="00E048EF"/>
    <w:rsid w:val="00E05C69"/>
    <w:rsid w:val="00E07DED"/>
    <w:rsid w:val="00E1219D"/>
    <w:rsid w:val="00E12F8D"/>
    <w:rsid w:val="00E153AD"/>
    <w:rsid w:val="00E237B4"/>
    <w:rsid w:val="00E23EA7"/>
    <w:rsid w:val="00E27778"/>
    <w:rsid w:val="00E32E4A"/>
    <w:rsid w:val="00E350F4"/>
    <w:rsid w:val="00E3765A"/>
    <w:rsid w:val="00E42157"/>
    <w:rsid w:val="00E464BF"/>
    <w:rsid w:val="00E51217"/>
    <w:rsid w:val="00E51855"/>
    <w:rsid w:val="00E73E27"/>
    <w:rsid w:val="00E833B0"/>
    <w:rsid w:val="00E8488F"/>
    <w:rsid w:val="00E91609"/>
    <w:rsid w:val="00E958CA"/>
    <w:rsid w:val="00EA1C23"/>
    <w:rsid w:val="00EB2CF0"/>
    <w:rsid w:val="00EB3E8D"/>
    <w:rsid w:val="00EC04E0"/>
    <w:rsid w:val="00EC3011"/>
    <w:rsid w:val="00EC5415"/>
    <w:rsid w:val="00ED34D6"/>
    <w:rsid w:val="00ED3E2A"/>
    <w:rsid w:val="00ED474D"/>
    <w:rsid w:val="00ED5D37"/>
    <w:rsid w:val="00EE77E8"/>
    <w:rsid w:val="00EF3395"/>
    <w:rsid w:val="00F22B5F"/>
    <w:rsid w:val="00F23537"/>
    <w:rsid w:val="00F36565"/>
    <w:rsid w:val="00F40C1C"/>
    <w:rsid w:val="00F413C6"/>
    <w:rsid w:val="00F4644D"/>
    <w:rsid w:val="00F466E9"/>
    <w:rsid w:val="00F557B1"/>
    <w:rsid w:val="00F770E2"/>
    <w:rsid w:val="00F77ADA"/>
    <w:rsid w:val="00F82EE7"/>
    <w:rsid w:val="00F952EE"/>
    <w:rsid w:val="00F97E76"/>
    <w:rsid w:val="00FA64C3"/>
    <w:rsid w:val="00FB36BF"/>
    <w:rsid w:val="00FB65F5"/>
    <w:rsid w:val="00FC0A11"/>
    <w:rsid w:val="00FC7F36"/>
    <w:rsid w:val="00FF0574"/>
    <w:rsid w:val="00FF2DFF"/>
    <w:rsid w:val="069D3983"/>
    <w:rsid w:val="09811362"/>
    <w:rsid w:val="0BC425EB"/>
    <w:rsid w:val="0EBF1B7D"/>
    <w:rsid w:val="0EDC46DD"/>
    <w:rsid w:val="13084E19"/>
    <w:rsid w:val="185E6A02"/>
    <w:rsid w:val="207F3D0A"/>
    <w:rsid w:val="24F04776"/>
    <w:rsid w:val="2FBB395D"/>
    <w:rsid w:val="334A2322"/>
    <w:rsid w:val="36BA0873"/>
    <w:rsid w:val="3B0F485F"/>
    <w:rsid w:val="3D6F7195"/>
    <w:rsid w:val="3E147880"/>
    <w:rsid w:val="449D1509"/>
    <w:rsid w:val="48631607"/>
    <w:rsid w:val="5F37766E"/>
    <w:rsid w:val="5F9F1992"/>
    <w:rsid w:val="68450F1C"/>
    <w:rsid w:val="6B147D20"/>
    <w:rsid w:val="7CF9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Body Tex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character" w:customStyle="1" w:styleId="1Char">
    <w:name w:val="标题 1 Char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link w:val="3"/>
    <w:uiPriority w:val="9"/>
    <w:semiHidden/>
    <w:rPr>
      <w:b/>
      <w:bCs/>
      <w:kern w:val="2"/>
      <w:sz w:val="32"/>
      <w:szCs w:val="32"/>
    </w:r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4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7"/>
    <w:uiPriority w:val="99"/>
    <w:rPr>
      <w:sz w:val="18"/>
      <w:szCs w:val="18"/>
    </w:rPr>
  </w:style>
  <w:style w:type="paragraph" w:styleId="2">
    <w:name w:val="Body Text 2"/>
    <w:basedOn w:val="a"/>
    <w:link w:val="2Char"/>
    <w:rPr>
      <w:sz w:val="24"/>
      <w:szCs w:val="20"/>
    </w:rPr>
  </w:style>
  <w:style w:type="character" w:customStyle="1" w:styleId="2Char">
    <w:name w:val="正文文本 2 Char"/>
    <w:link w:val="2"/>
    <w:rPr>
      <w:rFonts w:ascii="Times New Roman" w:hAnsi="Times New Roman"/>
      <w:kern w:val="2"/>
      <w:sz w:val="24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unhideWhenUsed/>
    <w:rPr>
      <w:b/>
      <w:bCs/>
    </w:rPr>
  </w:style>
  <w:style w:type="character" w:customStyle="1" w:styleId="Char3">
    <w:name w:val="批注主题 Char"/>
    <w:link w:val="a9"/>
    <w:uiPriority w:val="99"/>
    <w:semiHidden/>
    <w:rPr>
      <w:b/>
      <w:bCs/>
      <w:kern w:val="2"/>
      <w:sz w:val="21"/>
      <w:szCs w:val="22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character" w:customStyle="1" w:styleId="txtcontent11">
    <w:name w:val="txtcontent11"/>
    <w:rPr>
      <w:rFonts w:ascii="ˎ̥" w:hAnsi="ˎ̥" w:hint="default"/>
      <w:b w:val="0"/>
      <w:bCs w:val="0"/>
      <w:color w:val="000000"/>
      <w:sz w:val="17"/>
      <w:szCs w:val="17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unhideWhenUsed/>
    <w:pPr>
      <w:ind w:firstLineChars="200" w:firstLine="420"/>
    </w:pPr>
    <w:rPr>
      <w:szCs w:val="24"/>
    </w:rPr>
  </w:style>
  <w:style w:type="character" w:customStyle="1" w:styleId="ad">
    <w:name w:val="未处理的提及"/>
    <w:uiPriority w:val="99"/>
    <w:unhideWhenUsed/>
    <w:rPr>
      <w:color w:val="605E5C"/>
      <w:shd w:val="clear" w:color="auto" w:fill="E1DFDD"/>
    </w:rPr>
  </w:style>
  <w:style w:type="paragraph" w:styleId="ae">
    <w:name w:val="Revision"/>
    <w:uiPriority w:val="99"/>
    <w:unhideWhenUsed/>
    <w:rPr>
      <w:kern w:val="2"/>
      <w:sz w:val="21"/>
      <w:szCs w:val="22"/>
    </w:rPr>
  </w:style>
  <w:style w:type="character" w:customStyle="1" w:styleId="font11">
    <w:name w:val="font11"/>
    <w:basedOn w:val="a1"/>
    <w:rPr>
      <w:rFonts w:ascii="Arial" w:hAnsi="Arial" w:cs="Arial" w:hint="default"/>
      <w:i w:val="0"/>
      <w:iCs w:val="0"/>
      <w:color w:val="000000"/>
      <w:sz w:val="20"/>
      <w:szCs w:val="20"/>
      <w:u w:val="none"/>
    </w:rPr>
  </w:style>
  <w:style w:type="character" w:customStyle="1" w:styleId="font21">
    <w:name w:val="font21"/>
    <w:basedOn w:val="a1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sencefu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1783</Characters>
  <Application>Microsoft Office Word</Application>
  <DocSecurity>4</DocSecurity>
  <PresentationFormat/>
  <Lines>14</Lines>
  <Paragraphs>4</Paragraphs>
  <Slides>0</Slides>
  <Notes>0</Notes>
  <HiddenSlides>0</HiddenSlides>
  <MMClips>0</MMClips>
  <ScaleCrop>false</ScaleCrop>
  <Manager/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刘亦璇</dc:creator>
  <cp:keywords/>
  <dc:description/>
  <cp:lastModifiedBy>ZHONGM</cp:lastModifiedBy>
  <cp:revision>2</cp:revision>
  <cp:lastPrinted>2012-11-14T02:03:00Z</cp:lastPrinted>
  <dcterms:created xsi:type="dcterms:W3CDTF">2025-07-03T16:00:00Z</dcterms:created>
  <dcterms:modified xsi:type="dcterms:W3CDTF">2025-07-03T16:00:00Z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75045EC8A7C34DA99E70BCAC47E4FEA7_13</vt:lpwstr>
  </property>
</Properties>
</file>