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97E" w:rsidRDefault="00200313" w:rsidP="00200313">
      <w:pPr>
        <w:pStyle w:val="a7"/>
        <w:shd w:val="clear" w:color="auto" w:fill="FFFFFF"/>
        <w:spacing w:before="240" w:beforeAutospacing="0" w:after="0" w:afterAutospacing="0"/>
        <w:jc w:val="center"/>
        <w:rPr>
          <w:rFonts w:asciiTheme="minorEastAsia" w:eastAsiaTheme="minorEastAsia" w:hAnsiTheme="minorEastAsia"/>
          <w:b/>
          <w:bCs/>
          <w:color w:val="1F1F1F"/>
          <w:sz w:val="32"/>
          <w:szCs w:val="32"/>
        </w:rPr>
      </w:pPr>
      <w:r w:rsidRPr="00200313">
        <w:rPr>
          <w:rFonts w:asciiTheme="minorEastAsia" w:eastAsiaTheme="minorEastAsia" w:hAnsiTheme="minorEastAsia" w:hint="eastAsia"/>
          <w:b/>
          <w:bCs/>
          <w:color w:val="1F1F1F"/>
          <w:sz w:val="32"/>
          <w:szCs w:val="32"/>
        </w:rPr>
        <w:t>国寿安保基金管理有限公司</w:t>
      </w:r>
      <w:r w:rsidR="00721304">
        <w:rPr>
          <w:rFonts w:asciiTheme="minorEastAsia" w:eastAsiaTheme="minorEastAsia" w:hAnsiTheme="minorEastAsia" w:hint="eastAsia"/>
          <w:b/>
          <w:bCs/>
          <w:color w:val="1F1F1F"/>
          <w:sz w:val="32"/>
          <w:szCs w:val="32"/>
        </w:rPr>
        <w:t>关于旗下部分基金2</w:t>
      </w:r>
      <w:r w:rsidR="00721304">
        <w:rPr>
          <w:rFonts w:asciiTheme="minorEastAsia" w:eastAsiaTheme="minorEastAsia" w:hAnsiTheme="minorEastAsia"/>
          <w:b/>
          <w:bCs/>
          <w:color w:val="1F1F1F"/>
          <w:sz w:val="32"/>
          <w:szCs w:val="32"/>
        </w:rPr>
        <w:t>025年</w:t>
      </w:r>
      <w:r w:rsidR="00721304">
        <w:rPr>
          <w:rFonts w:asciiTheme="minorEastAsia" w:eastAsiaTheme="minorEastAsia" w:hAnsiTheme="minorEastAsia" w:hint="eastAsia"/>
          <w:b/>
          <w:bCs/>
          <w:color w:val="1F1F1F"/>
          <w:sz w:val="32"/>
          <w:szCs w:val="32"/>
        </w:rPr>
        <w:t>非港股通交易日暂停申购、赎回、转换及定投业务的公告</w:t>
      </w:r>
    </w:p>
    <w:p w:rsidR="0060497E" w:rsidRDefault="00721304">
      <w:pPr>
        <w:pStyle w:val="a7"/>
        <w:shd w:val="clear" w:color="auto" w:fill="FFFFFF"/>
        <w:spacing w:before="240" w:line="360" w:lineRule="auto"/>
        <w:ind w:firstLineChars="200" w:firstLine="480"/>
        <w:jc w:val="both"/>
        <w:rPr>
          <w:rFonts w:asciiTheme="minorEastAsia" w:eastAsiaTheme="minorEastAsia" w:hAnsiTheme="minorEastAsia"/>
        </w:rPr>
      </w:pPr>
      <w:r>
        <w:rPr>
          <w:rFonts w:asciiTheme="minorEastAsia" w:eastAsiaTheme="minorEastAsia" w:hAnsiTheme="minorEastAsia" w:hint="eastAsia"/>
        </w:rPr>
        <w:t>为了保障基金平稳运作，保护持有人利益，依据上海证券交易所《关于2024年岁末及2025年沪港通下港股通交易日安排的通知》及深圳证券交易所《关于2024年底及2025年深港通下的港股通交易日有关安排的通知》，国寿安保基金管理有限公司（以下简称“本公司”）决定，自本公告日开始，除上海交易所和深圳交易所因境内节假日休市外，对处于上海证券交易所和深圳证券交易所交易日的下列非港股通交易日，暂停旗下部分基金的申购、赎回、转换及定期定额投资等业务，并自该非港股通交易日的下一开放日恢复上述业务，届时不再另行公告。</w:t>
      </w:r>
    </w:p>
    <w:p w:rsidR="0060497E" w:rsidRDefault="00721304">
      <w:pPr>
        <w:pStyle w:val="a7"/>
        <w:shd w:val="clear" w:color="auto" w:fill="FFFFFF"/>
        <w:spacing w:before="240" w:line="360" w:lineRule="auto"/>
        <w:ind w:firstLineChars="200" w:firstLine="482"/>
        <w:jc w:val="both"/>
        <w:rPr>
          <w:rFonts w:asciiTheme="minorEastAsia" w:eastAsiaTheme="minorEastAsia" w:hAnsiTheme="minorEastAsia"/>
          <w:b/>
        </w:rPr>
      </w:pPr>
      <w:r>
        <w:rPr>
          <w:rFonts w:asciiTheme="minorEastAsia" w:eastAsiaTheme="minorEastAsia" w:hAnsiTheme="minorEastAsia" w:hint="eastAsia"/>
          <w:b/>
        </w:rPr>
        <w:t>一、适用基金范围：</w:t>
      </w:r>
    </w:p>
    <w:tbl>
      <w:tblPr>
        <w:tblStyle w:val="a9"/>
        <w:tblW w:w="9209" w:type="dxa"/>
        <w:jc w:val="center"/>
        <w:tblLook w:val="04A0"/>
      </w:tblPr>
      <w:tblGrid>
        <w:gridCol w:w="7366"/>
        <w:gridCol w:w="1843"/>
      </w:tblGrid>
      <w:tr w:rsidR="0060497E">
        <w:trPr>
          <w:jc w:val="center"/>
        </w:trPr>
        <w:tc>
          <w:tcPr>
            <w:tcW w:w="7366"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hint="eastAsia"/>
              </w:rPr>
              <w:t>基金名称</w:t>
            </w:r>
          </w:p>
        </w:tc>
        <w:tc>
          <w:tcPr>
            <w:tcW w:w="1843"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hint="eastAsia"/>
              </w:rPr>
              <w:t>基金主代码</w:t>
            </w:r>
          </w:p>
        </w:tc>
      </w:tr>
      <w:tr w:rsidR="0060497E">
        <w:trPr>
          <w:jc w:val="center"/>
        </w:trPr>
        <w:tc>
          <w:tcPr>
            <w:tcW w:w="7366"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hint="eastAsia"/>
              </w:rPr>
              <w:t>国寿安保高股息混合型证券投资基金</w:t>
            </w:r>
          </w:p>
        </w:tc>
        <w:tc>
          <w:tcPr>
            <w:tcW w:w="1843"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rPr>
              <w:t>009500</w:t>
            </w:r>
          </w:p>
        </w:tc>
      </w:tr>
      <w:tr w:rsidR="0060497E">
        <w:trPr>
          <w:jc w:val="center"/>
        </w:trPr>
        <w:tc>
          <w:tcPr>
            <w:tcW w:w="7366"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hint="eastAsia"/>
              </w:rPr>
              <w:t>国寿安保数字经济股票型发起式证券投资基金</w:t>
            </w:r>
          </w:p>
        </w:tc>
        <w:tc>
          <w:tcPr>
            <w:tcW w:w="1843" w:type="dxa"/>
          </w:tcPr>
          <w:p w:rsidR="0060497E" w:rsidRDefault="00721304">
            <w:pPr>
              <w:pStyle w:val="a7"/>
              <w:spacing w:before="240" w:line="360" w:lineRule="auto"/>
              <w:jc w:val="center"/>
              <w:rPr>
                <w:rFonts w:asciiTheme="minorEastAsia" w:eastAsiaTheme="minorEastAsia" w:hAnsiTheme="minorEastAsia"/>
              </w:rPr>
            </w:pPr>
            <w:bookmarkStart w:id="0" w:name="_GoBack"/>
            <w:r>
              <w:rPr>
                <w:rFonts w:asciiTheme="minorEastAsia" w:eastAsiaTheme="minorEastAsia" w:hAnsiTheme="minorEastAsia"/>
              </w:rPr>
              <w:t>020722</w:t>
            </w:r>
            <w:bookmarkEnd w:id="0"/>
          </w:p>
        </w:tc>
      </w:tr>
      <w:tr w:rsidR="0060497E">
        <w:trPr>
          <w:jc w:val="center"/>
        </w:trPr>
        <w:tc>
          <w:tcPr>
            <w:tcW w:w="7366"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hint="eastAsia"/>
              </w:rPr>
              <w:t>国寿安保品质消费股票型发起式证券投资基金</w:t>
            </w:r>
          </w:p>
        </w:tc>
        <w:tc>
          <w:tcPr>
            <w:tcW w:w="1843"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rPr>
              <w:t>020140</w:t>
            </w:r>
          </w:p>
        </w:tc>
      </w:tr>
      <w:tr w:rsidR="0060497E">
        <w:trPr>
          <w:jc w:val="center"/>
        </w:trPr>
        <w:tc>
          <w:tcPr>
            <w:tcW w:w="7366"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hint="eastAsia"/>
              </w:rPr>
              <w:t>国寿安保景气优选混合型发起式证券投资基金</w:t>
            </w:r>
          </w:p>
        </w:tc>
        <w:tc>
          <w:tcPr>
            <w:tcW w:w="1843"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rPr>
              <w:t>020600</w:t>
            </w:r>
          </w:p>
        </w:tc>
      </w:tr>
      <w:tr w:rsidR="0060497E">
        <w:trPr>
          <w:jc w:val="center"/>
        </w:trPr>
        <w:tc>
          <w:tcPr>
            <w:tcW w:w="7366"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hint="eastAsia"/>
              </w:rPr>
              <w:t>国寿安保新材料股票型发起式证券投资基金</w:t>
            </w:r>
          </w:p>
        </w:tc>
        <w:tc>
          <w:tcPr>
            <w:tcW w:w="1843"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rPr>
              <w:t>019824</w:t>
            </w:r>
          </w:p>
        </w:tc>
      </w:tr>
      <w:tr w:rsidR="0060497E">
        <w:trPr>
          <w:jc w:val="center"/>
        </w:trPr>
        <w:tc>
          <w:tcPr>
            <w:tcW w:w="7366"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hint="eastAsia"/>
              </w:rPr>
              <w:t>国寿安保高端装备股票型发起式证券投资基金</w:t>
            </w:r>
          </w:p>
        </w:tc>
        <w:tc>
          <w:tcPr>
            <w:tcW w:w="1843"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rPr>
              <w:t>020720</w:t>
            </w:r>
          </w:p>
        </w:tc>
      </w:tr>
      <w:tr w:rsidR="0060497E">
        <w:trPr>
          <w:jc w:val="center"/>
        </w:trPr>
        <w:tc>
          <w:tcPr>
            <w:tcW w:w="7366"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hint="eastAsia"/>
              </w:rPr>
              <w:t>国寿安保优选国企股票型发起式证券投资基金</w:t>
            </w:r>
          </w:p>
        </w:tc>
        <w:tc>
          <w:tcPr>
            <w:tcW w:w="1843" w:type="dxa"/>
          </w:tcPr>
          <w:p w:rsidR="0060497E" w:rsidRDefault="00721304">
            <w:pPr>
              <w:pStyle w:val="a7"/>
              <w:spacing w:before="240" w:line="360" w:lineRule="auto"/>
              <w:jc w:val="center"/>
              <w:rPr>
                <w:rFonts w:asciiTheme="minorEastAsia" w:eastAsiaTheme="minorEastAsia" w:hAnsiTheme="minorEastAsia"/>
              </w:rPr>
            </w:pPr>
            <w:r>
              <w:rPr>
                <w:rFonts w:asciiTheme="minorEastAsia" w:eastAsiaTheme="minorEastAsia" w:hAnsiTheme="minorEastAsia"/>
              </w:rPr>
              <w:t>019765</w:t>
            </w:r>
          </w:p>
        </w:tc>
      </w:tr>
    </w:tbl>
    <w:p w:rsidR="0060497E" w:rsidRDefault="00721304">
      <w:pPr>
        <w:pStyle w:val="a7"/>
        <w:shd w:val="clear" w:color="auto" w:fill="FFFFFF"/>
        <w:spacing w:before="240" w:line="360" w:lineRule="auto"/>
        <w:ind w:firstLineChars="200" w:firstLine="480"/>
        <w:jc w:val="both"/>
        <w:rPr>
          <w:rFonts w:asciiTheme="minorEastAsia" w:eastAsiaTheme="minorEastAsia" w:hAnsiTheme="minorEastAsia"/>
        </w:rPr>
      </w:pPr>
      <w:r>
        <w:rPr>
          <w:rFonts w:asciiTheme="minorEastAsia" w:eastAsiaTheme="minorEastAsia" w:hAnsiTheme="minorEastAsia" w:hint="eastAsia"/>
        </w:rPr>
        <w:t>根据上述基金的基金合同和招募说明书的有关约定，投资人在开放日办理基金份额的申购和赎回，具体办理时间为上海证券交易所、深圳证券交易所的正常交易日的交易时间（若该基金参与港股通交易且该工作日为非港股通交易日时，则基金管理人有权根据实际情况决定本基金暂停申购、赎回及转换业务并公告），但基金管理人根据法律法规、中国证监会的要求或本基金合同的规定公告暂停申购、赎回时除外。</w:t>
      </w:r>
    </w:p>
    <w:p w:rsidR="0060497E" w:rsidRDefault="00721304">
      <w:pPr>
        <w:pStyle w:val="a7"/>
        <w:shd w:val="clear" w:color="auto" w:fill="FFFFFF"/>
        <w:spacing w:before="240" w:line="360" w:lineRule="auto"/>
        <w:ind w:firstLineChars="200" w:firstLine="482"/>
        <w:jc w:val="both"/>
        <w:rPr>
          <w:rFonts w:asciiTheme="minorEastAsia" w:eastAsiaTheme="minorEastAsia" w:hAnsiTheme="minorEastAsia"/>
          <w:b/>
          <w:sz w:val="21"/>
          <w:szCs w:val="21"/>
        </w:rPr>
      </w:pPr>
      <w:r>
        <w:rPr>
          <w:rFonts w:asciiTheme="minorEastAsia" w:eastAsiaTheme="minorEastAsia" w:hAnsiTheme="minorEastAsia" w:hint="eastAsia"/>
          <w:b/>
        </w:rPr>
        <w:lastRenderedPageBreak/>
        <w:t>二、2</w:t>
      </w:r>
      <w:r>
        <w:rPr>
          <w:rFonts w:asciiTheme="minorEastAsia" w:eastAsiaTheme="minorEastAsia" w:hAnsiTheme="minorEastAsia"/>
          <w:b/>
        </w:rPr>
        <w:t>025</w:t>
      </w:r>
      <w:r>
        <w:rPr>
          <w:rFonts w:asciiTheme="minorEastAsia" w:eastAsiaTheme="minorEastAsia" w:hAnsiTheme="minorEastAsia" w:hint="eastAsia"/>
          <w:b/>
        </w:rPr>
        <w:t>年非港股通交易日提示如下：</w:t>
      </w:r>
      <w:r>
        <w:rPr>
          <w:rFonts w:asciiTheme="minorEastAsia" w:eastAsiaTheme="minorEastAsia" w:hAnsiTheme="minorEastAsia"/>
          <w:b/>
          <w:sz w:val="21"/>
          <w:szCs w:val="21"/>
        </w:rPr>
        <w:t xml:space="preserve"> </w:t>
      </w:r>
    </w:p>
    <w:tbl>
      <w:tblPr>
        <w:tblW w:w="8647" w:type="dxa"/>
        <w:tblInd w:w="-5" w:type="dxa"/>
        <w:tblLook w:val="04A0"/>
      </w:tblPr>
      <w:tblGrid>
        <w:gridCol w:w="1134"/>
        <w:gridCol w:w="851"/>
        <w:gridCol w:w="6662"/>
      </w:tblGrid>
      <w:tr w:rsidR="0060497E">
        <w:trPr>
          <w:trHeight w:val="280"/>
        </w:trPr>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0497E" w:rsidRDefault="00721304">
            <w:pPr>
              <w:widowControl/>
              <w:jc w:val="center"/>
              <w:rPr>
                <w:rFonts w:asciiTheme="minorEastAsia" w:hAnsiTheme="minorEastAsia" w:cs="宋体"/>
                <w:b/>
                <w:bCs/>
                <w:kern w:val="0"/>
                <w:sz w:val="24"/>
              </w:rPr>
            </w:pPr>
            <w:r>
              <w:rPr>
                <w:rFonts w:asciiTheme="minorEastAsia" w:hAnsiTheme="minorEastAsia" w:cs="宋体" w:hint="eastAsia"/>
                <w:b/>
                <w:bCs/>
                <w:kern w:val="0"/>
                <w:sz w:val="24"/>
              </w:rPr>
              <w:t>年份</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60497E" w:rsidRDefault="00721304">
            <w:pPr>
              <w:widowControl/>
              <w:jc w:val="center"/>
              <w:rPr>
                <w:rFonts w:asciiTheme="minorEastAsia" w:hAnsiTheme="minorEastAsia" w:cs="宋体"/>
                <w:b/>
                <w:bCs/>
                <w:kern w:val="0"/>
                <w:sz w:val="24"/>
              </w:rPr>
            </w:pPr>
            <w:r>
              <w:rPr>
                <w:rFonts w:asciiTheme="minorEastAsia" w:hAnsiTheme="minorEastAsia" w:cs="宋体" w:hint="eastAsia"/>
                <w:b/>
                <w:bCs/>
                <w:kern w:val="0"/>
                <w:sz w:val="24"/>
              </w:rPr>
              <w:t>月份</w:t>
            </w:r>
          </w:p>
        </w:tc>
        <w:tc>
          <w:tcPr>
            <w:tcW w:w="6662" w:type="dxa"/>
            <w:tcBorders>
              <w:top w:val="single" w:sz="4" w:space="0" w:color="auto"/>
              <w:left w:val="nil"/>
              <w:bottom w:val="single" w:sz="4" w:space="0" w:color="auto"/>
              <w:right w:val="single" w:sz="4" w:space="0" w:color="auto"/>
            </w:tcBorders>
            <w:shd w:val="clear" w:color="auto" w:fill="auto"/>
            <w:vAlign w:val="center"/>
          </w:tcPr>
          <w:p w:rsidR="0060497E" w:rsidRDefault="00721304">
            <w:pPr>
              <w:widowControl/>
              <w:jc w:val="center"/>
              <w:rPr>
                <w:rFonts w:asciiTheme="minorEastAsia" w:hAnsiTheme="minorEastAsia" w:cs="宋体"/>
                <w:b/>
                <w:bCs/>
                <w:kern w:val="0"/>
                <w:sz w:val="24"/>
              </w:rPr>
            </w:pPr>
            <w:r>
              <w:rPr>
                <w:rFonts w:asciiTheme="minorEastAsia" w:hAnsiTheme="minorEastAsia" w:cs="宋体" w:hint="eastAsia"/>
                <w:b/>
                <w:bCs/>
                <w:kern w:val="0"/>
                <w:sz w:val="24"/>
              </w:rPr>
              <w:t>2025年非港股通交易日</w:t>
            </w:r>
          </w:p>
        </w:tc>
      </w:tr>
      <w:tr w:rsidR="0060497E">
        <w:trPr>
          <w:trHeight w:val="280"/>
        </w:trPr>
        <w:tc>
          <w:tcPr>
            <w:tcW w:w="1134" w:type="dxa"/>
            <w:vMerge w:val="restart"/>
            <w:tcBorders>
              <w:top w:val="nil"/>
              <w:left w:val="single" w:sz="4" w:space="0" w:color="auto"/>
              <w:bottom w:val="single" w:sz="4" w:space="0" w:color="000000"/>
              <w:right w:val="single" w:sz="4" w:space="0" w:color="auto"/>
            </w:tcBorders>
            <w:vAlign w:val="center"/>
          </w:tcPr>
          <w:p w:rsidR="0060497E" w:rsidRDefault="00721304">
            <w:pPr>
              <w:widowControl/>
              <w:jc w:val="left"/>
              <w:rPr>
                <w:rFonts w:asciiTheme="minorEastAsia" w:hAnsiTheme="minorEastAsia" w:cs="宋体"/>
                <w:kern w:val="0"/>
                <w:sz w:val="24"/>
              </w:rPr>
            </w:pPr>
            <w:r>
              <w:rPr>
                <w:rFonts w:asciiTheme="minorEastAsia" w:hAnsiTheme="minorEastAsia" w:cs="宋体" w:hint="eastAsia"/>
                <w:kern w:val="0"/>
                <w:sz w:val="24"/>
              </w:rPr>
              <w:t>2</w:t>
            </w:r>
            <w:r>
              <w:rPr>
                <w:rFonts w:asciiTheme="minorEastAsia" w:hAnsiTheme="minorEastAsia" w:cs="宋体"/>
                <w:kern w:val="0"/>
                <w:sz w:val="24"/>
              </w:rPr>
              <w:t>025年</w:t>
            </w:r>
          </w:p>
        </w:tc>
        <w:tc>
          <w:tcPr>
            <w:tcW w:w="851" w:type="dxa"/>
            <w:tcBorders>
              <w:top w:val="nil"/>
              <w:left w:val="nil"/>
              <w:bottom w:val="single" w:sz="4" w:space="0" w:color="auto"/>
              <w:right w:val="single" w:sz="4" w:space="0" w:color="auto"/>
            </w:tcBorders>
            <w:shd w:val="clear" w:color="auto" w:fill="auto"/>
            <w:noWrap/>
            <w:vAlign w:val="center"/>
          </w:tcPr>
          <w:p w:rsidR="0060497E" w:rsidRDefault="00721304">
            <w:pPr>
              <w:widowControl/>
              <w:jc w:val="center"/>
              <w:rPr>
                <w:rFonts w:asciiTheme="minorEastAsia" w:hAnsiTheme="minorEastAsia" w:cs="宋体"/>
                <w:kern w:val="0"/>
                <w:sz w:val="24"/>
              </w:rPr>
            </w:pPr>
            <w:r>
              <w:rPr>
                <w:rFonts w:asciiTheme="minorEastAsia" w:hAnsiTheme="minorEastAsia" w:cs="宋体" w:hint="eastAsia"/>
                <w:kern w:val="0"/>
                <w:sz w:val="24"/>
              </w:rPr>
              <w:t>7月</w:t>
            </w:r>
          </w:p>
        </w:tc>
        <w:tc>
          <w:tcPr>
            <w:tcW w:w="6662" w:type="dxa"/>
            <w:tcBorders>
              <w:top w:val="nil"/>
              <w:left w:val="nil"/>
              <w:bottom w:val="single" w:sz="4" w:space="0" w:color="auto"/>
              <w:right w:val="single" w:sz="4" w:space="0" w:color="auto"/>
            </w:tcBorders>
            <w:shd w:val="clear" w:color="auto" w:fill="auto"/>
            <w:vAlign w:val="center"/>
          </w:tcPr>
          <w:p w:rsidR="0060497E" w:rsidRDefault="00721304">
            <w:pPr>
              <w:widowControl/>
              <w:jc w:val="left"/>
              <w:rPr>
                <w:rFonts w:asciiTheme="minorEastAsia" w:hAnsiTheme="minorEastAsia" w:cs="宋体"/>
                <w:kern w:val="0"/>
                <w:sz w:val="24"/>
              </w:rPr>
            </w:pPr>
            <w:r>
              <w:rPr>
                <w:rFonts w:asciiTheme="minorEastAsia" w:hAnsiTheme="minorEastAsia" w:cs="宋体" w:hint="eastAsia"/>
                <w:kern w:val="0"/>
                <w:sz w:val="24"/>
              </w:rPr>
              <w:t>1日（香港特别行政区成立纪念日）</w:t>
            </w:r>
          </w:p>
        </w:tc>
      </w:tr>
      <w:tr w:rsidR="0060497E">
        <w:trPr>
          <w:trHeight w:val="280"/>
        </w:trPr>
        <w:tc>
          <w:tcPr>
            <w:tcW w:w="1134" w:type="dxa"/>
            <w:vMerge/>
            <w:tcBorders>
              <w:top w:val="nil"/>
              <w:left w:val="single" w:sz="4" w:space="0" w:color="auto"/>
              <w:bottom w:val="single" w:sz="4" w:space="0" w:color="000000"/>
              <w:right w:val="single" w:sz="4" w:space="0" w:color="auto"/>
            </w:tcBorders>
            <w:vAlign w:val="center"/>
          </w:tcPr>
          <w:p w:rsidR="0060497E" w:rsidRDefault="0060497E">
            <w:pPr>
              <w:widowControl/>
              <w:jc w:val="left"/>
              <w:rPr>
                <w:rFonts w:asciiTheme="minorEastAsia" w:hAnsiTheme="minorEastAsia" w:cs="宋体"/>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60497E" w:rsidRDefault="00721304">
            <w:pPr>
              <w:widowControl/>
              <w:jc w:val="center"/>
              <w:rPr>
                <w:rFonts w:asciiTheme="minorEastAsia" w:hAnsiTheme="minorEastAsia" w:cs="宋体"/>
                <w:kern w:val="0"/>
                <w:sz w:val="24"/>
              </w:rPr>
            </w:pPr>
            <w:r>
              <w:rPr>
                <w:rFonts w:asciiTheme="minorEastAsia" w:hAnsiTheme="minorEastAsia" w:cs="宋体" w:hint="eastAsia"/>
                <w:kern w:val="0"/>
                <w:sz w:val="24"/>
              </w:rPr>
              <w:t>10月</w:t>
            </w:r>
          </w:p>
        </w:tc>
        <w:tc>
          <w:tcPr>
            <w:tcW w:w="6662" w:type="dxa"/>
            <w:tcBorders>
              <w:top w:val="nil"/>
              <w:left w:val="nil"/>
              <w:bottom w:val="single" w:sz="4" w:space="0" w:color="auto"/>
              <w:right w:val="single" w:sz="4" w:space="0" w:color="auto"/>
            </w:tcBorders>
            <w:shd w:val="clear" w:color="auto" w:fill="auto"/>
            <w:vAlign w:val="center"/>
          </w:tcPr>
          <w:p w:rsidR="0060497E" w:rsidRDefault="00721304">
            <w:pPr>
              <w:widowControl/>
              <w:jc w:val="left"/>
              <w:rPr>
                <w:rFonts w:asciiTheme="minorEastAsia" w:hAnsiTheme="minorEastAsia" w:cs="宋体"/>
                <w:kern w:val="0"/>
                <w:sz w:val="24"/>
              </w:rPr>
            </w:pPr>
            <w:r>
              <w:rPr>
                <w:rFonts w:asciiTheme="minorEastAsia" w:hAnsiTheme="minorEastAsia" w:cs="宋体" w:hint="eastAsia"/>
                <w:kern w:val="0"/>
                <w:sz w:val="24"/>
              </w:rPr>
              <w:t>29日（香港重阳节）</w:t>
            </w:r>
          </w:p>
        </w:tc>
      </w:tr>
      <w:tr w:rsidR="0060497E">
        <w:trPr>
          <w:trHeight w:val="280"/>
        </w:trPr>
        <w:tc>
          <w:tcPr>
            <w:tcW w:w="1134" w:type="dxa"/>
            <w:vMerge/>
            <w:tcBorders>
              <w:top w:val="nil"/>
              <w:left w:val="single" w:sz="4" w:space="0" w:color="auto"/>
              <w:bottom w:val="single" w:sz="4" w:space="0" w:color="000000"/>
              <w:right w:val="single" w:sz="4" w:space="0" w:color="auto"/>
            </w:tcBorders>
            <w:vAlign w:val="center"/>
          </w:tcPr>
          <w:p w:rsidR="0060497E" w:rsidRDefault="0060497E">
            <w:pPr>
              <w:widowControl/>
              <w:jc w:val="left"/>
              <w:rPr>
                <w:rFonts w:asciiTheme="minorEastAsia" w:hAnsiTheme="minorEastAsia" w:cs="宋体"/>
                <w:kern w:val="0"/>
                <w:sz w:val="24"/>
              </w:rPr>
            </w:pPr>
          </w:p>
        </w:tc>
        <w:tc>
          <w:tcPr>
            <w:tcW w:w="851" w:type="dxa"/>
            <w:tcBorders>
              <w:top w:val="nil"/>
              <w:left w:val="nil"/>
              <w:bottom w:val="single" w:sz="4" w:space="0" w:color="auto"/>
              <w:right w:val="single" w:sz="4" w:space="0" w:color="auto"/>
            </w:tcBorders>
            <w:shd w:val="clear" w:color="auto" w:fill="auto"/>
            <w:noWrap/>
            <w:vAlign w:val="center"/>
          </w:tcPr>
          <w:p w:rsidR="0060497E" w:rsidRDefault="00721304">
            <w:pPr>
              <w:widowControl/>
              <w:jc w:val="center"/>
              <w:rPr>
                <w:rFonts w:asciiTheme="minorEastAsia" w:hAnsiTheme="minorEastAsia" w:cs="宋体"/>
                <w:kern w:val="0"/>
                <w:sz w:val="24"/>
              </w:rPr>
            </w:pPr>
            <w:r>
              <w:rPr>
                <w:rFonts w:asciiTheme="minorEastAsia" w:hAnsiTheme="minorEastAsia" w:cs="宋体" w:hint="eastAsia"/>
                <w:kern w:val="0"/>
                <w:sz w:val="24"/>
              </w:rPr>
              <w:t>12月</w:t>
            </w:r>
          </w:p>
        </w:tc>
        <w:tc>
          <w:tcPr>
            <w:tcW w:w="6662" w:type="dxa"/>
            <w:tcBorders>
              <w:top w:val="nil"/>
              <w:left w:val="nil"/>
              <w:bottom w:val="single" w:sz="4" w:space="0" w:color="auto"/>
              <w:right w:val="single" w:sz="4" w:space="0" w:color="auto"/>
            </w:tcBorders>
            <w:shd w:val="clear" w:color="auto" w:fill="auto"/>
            <w:vAlign w:val="center"/>
          </w:tcPr>
          <w:p w:rsidR="0060497E" w:rsidRDefault="00721304">
            <w:pPr>
              <w:widowControl/>
              <w:jc w:val="left"/>
              <w:rPr>
                <w:rFonts w:asciiTheme="minorEastAsia" w:hAnsiTheme="minorEastAsia" w:cs="宋体"/>
                <w:kern w:val="0"/>
                <w:sz w:val="24"/>
              </w:rPr>
            </w:pPr>
            <w:r>
              <w:rPr>
                <w:rFonts w:asciiTheme="minorEastAsia" w:hAnsiTheme="minorEastAsia" w:cs="宋体" w:hint="eastAsia"/>
                <w:kern w:val="0"/>
                <w:sz w:val="24"/>
              </w:rPr>
              <w:t>24日、25日、26日、31日（香港圣诞节、香港新年前夕）</w:t>
            </w:r>
          </w:p>
        </w:tc>
      </w:tr>
    </w:tbl>
    <w:p w:rsidR="0060497E" w:rsidRDefault="00721304">
      <w:pPr>
        <w:pStyle w:val="a7"/>
        <w:shd w:val="clear" w:color="auto" w:fill="FFFFFF"/>
        <w:ind w:firstLineChars="200" w:firstLine="480"/>
        <w:jc w:val="both"/>
        <w:rPr>
          <w:rFonts w:asciiTheme="minorEastAsia" w:eastAsiaTheme="minorEastAsia" w:hAnsiTheme="minorEastAsia"/>
        </w:rPr>
      </w:pPr>
      <w:r>
        <w:rPr>
          <w:rFonts w:asciiTheme="minorEastAsia" w:eastAsiaTheme="minorEastAsia" w:hAnsiTheme="minorEastAsia" w:hint="eastAsia"/>
        </w:rPr>
        <w:t>注</w:t>
      </w:r>
      <w:r>
        <w:rPr>
          <w:rFonts w:asciiTheme="minorEastAsia" w:eastAsiaTheme="minorEastAsia" w:hAnsiTheme="minorEastAsia"/>
        </w:rPr>
        <w:t>：</w:t>
      </w:r>
      <w:r>
        <w:rPr>
          <w:rFonts w:asciiTheme="minorEastAsia" w:eastAsiaTheme="minorEastAsia" w:hAnsiTheme="minorEastAsia" w:hint="eastAsia"/>
        </w:rPr>
        <w:t>1.关于非港股通交易日的具体安排以上海证券交易所、深圳证券交易所发布的通知为准；</w:t>
      </w:r>
    </w:p>
    <w:p w:rsidR="0060497E" w:rsidRDefault="00721304">
      <w:pPr>
        <w:pStyle w:val="a7"/>
        <w:shd w:val="clear" w:color="auto" w:fill="FFFFFF"/>
        <w:ind w:firstLineChars="200" w:firstLine="480"/>
        <w:jc w:val="both"/>
        <w:rPr>
          <w:rFonts w:asciiTheme="minorEastAsia" w:eastAsiaTheme="minorEastAsia" w:hAnsiTheme="minorEastAsia"/>
        </w:rPr>
      </w:pPr>
      <w:r>
        <w:rPr>
          <w:rFonts w:asciiTheme="minorEastAsia" w:eastAsiaTheme="minorEastAsia" w:hAnsiTheme="minorEastAsia" w:hint="eastAsia"/>
        </w:rPr>
        <w:t>2.上述日期已剔除和境内休市日重合的日期；</w:t>
      </w:r>
    </w:p>
    <w:p w:rsidR="0060497E" w:rsidRDefault="00721304">
      <w:pPr>
        <w:pStyle w:val="a7"/>
        <w:shd w:val="clear" w:color="auto" w:fill="FFFFFF"/>
        <w:ind w:firstLineChars="200" w:firstLine="480"/>
        <w:rPr>
          <w:rFonts w:asciiTheme="minorEastAsia" w:eastAsiaTheme="minorEastAsia" w:hAnsiTheme="minorEastAsia"/>
        </w:rPr>
      </w:pPr>
      <w:r>
        <w:rPr>
          <w:rFonts w:asciiTheme="minorEastAsia" w:eastAsiaTheme="minorEastAsia" w:hAnsiTheme="minorEastAsia" w:hint="eastAsia"/>
        </w:rPr>
        <w:t>3.上述基金的申赎业务规则详见法律文件及相关公告，如遇上述基金因其他原因暂停申购、赎回、转换、定投等业务的，具体业务办理以相关公告为准；</w:t>
      </w:r>
    </w:p>
    <w:p w:rsidR="0060497E" w:rsidRDefault="00721304">
      <w:pPr>
        <w:pStyle w:val="a7"/>
        <w:shd w:val="clear" w:color="auto" w:fill="FFFFFF"/>
        <w:ind w:firstLineChars="200" w:firstLine="480"/>
        <w:jc w:val="both"/>
        <w:rPr>
          <w:rFonts w:asciiTheme="minorEastAsia" w:eastAsiaTheme="minorEastAsia" w:hAnsiTheme="minorEastAsia"/>
        </w:rPr>
      </w:pPr>
      <w:r>
        <w:rPr>
          <w:rFonts w:asciiTheme="minorEastAsia" w:eastAsiaTheme="minorEastAsia" w:hAnsiTheme="minorEastAsia" w:hint="eastAsia"/>
        </w:rPr>
        <w:t>4.如上述基金调整上述业务时，本公司将另行公告；</w:t>
      </w:r>
    </w:p>
    <w:p w:rsidR="0060497E" w:rsidRDefault="00721304">
      <w:pPr>
        <w:pStyle w:val="a7"/>
        <w:shd w:val="clear" w:color="auto" w:fill="FFFFFF"/>
        <w:ind w:firstLineChars="200" w:firstLine="480"/>
        <w:jc w:val="both"/>
        <w:rPr>
          <w:rFonts w:asciiTheme="minorEastAsia" w:eastAsiaTheme="minorEastAsia" w:hAnsiTheme="minorEastAsia"/>
        </w:rPr>
      </w:pPr>
      <w:r>
        <w:rPr>
          <w:rFonts w:asciiTheme="minorEastAsia" w:eastAsiaTheme="minorEastAsia" w:hAnsiTheme="minorEastAsia" w:hint="eastAsia"/>
        </w:rPr>
        <w:t>5</w:t>
      </w:r>
      <w:r>
        <w:rPr>
          <w:rFonts w:asciiTheme="minorEastAsia" w:eastAsiaTheme="minorEastAsia" w:hAnsiTheme="minorEastAsia"/>
        </w:rPr>
        <w:t>.</w:t>
      </w:r>
      <w:r>
        <w:rPr>
          <w:rFonts w:asciiTheme="minorEastAsia" w:eastAsiaTheme="minorEastAsia" w:hAnsiTheme="minorEastAsia" w:hint="eastAsia"/>
        </w:rPr>
        <w:t>若非港股通交易日安排发生变化，本公司将进行相应调整并公告。</w:t>
      </w:r>
    </w:p>
    <w:p w:rsidR="0060497E" w:rsidRDefault="00721304">
      <w:pPr>
        <w:pStyle w:val="a7"/>
        <w:shd w:val="clear" w:color="auto" w:fill="FFFFFF"/>
        <w:spacing w:before="240" w:line="360" w:lineRule="auto"/>
        <w:ind w:firstLineChars="200" w:firstLine="480"/>
        <w:jc w:val="both"/>
        <w:rPr>
          <w:rFonts w:asciiTheme="minorEastAsia" w:eastAsiaTheme="minorEastAsia" w:hAnsiTheme="minorEastAsia"/>
        </w:rPr>
      </w:pPr>
      <w:r>
        <w:rPr>
          <w:rFonts w:asciiTheme="minorEastAsia" w:eastAsiaTheme="minorEastAsia" w:hAnsiTheme="minorEastAsia" w:hint="eastAsia"/>
        </w:rPr>
        <w:t>如有疑问，请拨打本公司客户服务热线：4009-258-258，或登陆本公司网站www.gsfunds.com.cn获取相关信息。</w:t>
      </w:r>
    </w:p>
    <w:p w:rsidR="0060497E" w:rsidRDefault="00721304">
      <w:pPr>
        <w:pStyle w:val="a7"/>
        <w:shd w:val="clear" w:color="auto" w:fill="FFFFFF"/>
        <w:spacing w:before="240" w:line="360" w:lineRule="auto"/>
        <w:ind w:firstLineChars="200" w:firstLine="480"/>
        <w:jc w:val="both"/>
        <w:rPr>
          <w:rFonts w:asciiTheme="minorEastAsia" w:eastAsiaTheme="minorEastAsia" w:hAnsiTheme="minorEastAsia"/>
        </w:rPr>
      </w:pPr>
      <w:r>
        <w:rPr>
          <w:rFonts w:asciiTheme="minorEastAsia" w:eastAsiaTheme="minorEastAsia" w:hAnsiTheme="minorEastAsia" w:hint="eastAsia"/>
        </w:rPr>
        <w:t>风险提示：本公司承诺以诚实信用、谨慎勤勉的原则管理和运用基金财产，但不保证投资本基金一定盈利，也不保证基金份额持有人的最低收益。敬请投资人认真阅读基金合同、招募说明书等法律文件，并根据自身的风险承受能力选择适合自己的基金产品投资，注意基金投资风险。</w:t>
      </w:r>
    </w:p>
    <w:p w:rsidR="0060497E" w:rsidRDefault="00721304">
      <w:pPr>
        <w:pStyle w:val="a7"/>
        <w:shd w:val="clear" w:color="auto" w:fill="FFFFFF"/>
        <w:spacing w:before="240" w:line="360" w:lineRule="auto"/>
        <w:ind w:firstLineChars="200" w:firstLine="480"/>
        <w:rPr>
          <w:rFonts w:asciiTheme="minorEastAsia" w:eastAsiaTheme="minorEastAsia" w:hAnsiTheme="minorEastAsia"/>
        </w:rPr>
      </w:pPr>
      <w:r>
        <w:rPr>
          <w:rFonts w:asciiTheme="minorEastAsia" w:eastAsiaTheme="minorEastAsia" w:hAnsiTheme="minorEastAsia" w:hint="eastAsia"/>
        </w:rPr>
        <w:t>特此公告。</w:t>
      </w:r>
    </w:p>
    <w:p w:rsidR="0060497E" w:rsidRDefault="00721304">
      <w:pPr>
        <w:pStyle w:val="a7"/>
        <w:shd w:val="clear" w:color="auto" w:fill="FFFFFF"/>
        <w:spacing w:before="540" w:beforeAutospacing="0" w:after="0" w:afterAutospacing="0" w:line="360" w:lineRule="auto"/>
        <w:jc w:val="right"/>
        <w:rPr>
          <w:rFonts w:asciiTheme="minorEastAsia" w:eastAsiaTheme="minorEastAsia" w:hAnsiTheme="minorEastAsia"/>
        </w:rPr>
      </w:pPr>
      <w:r>
        <w:rPr>
          <w:rFonts w:asciiTheme="minorEastAsia" w:eastAsiaTheme="minorEastAsia" w:hAnsiTheme="minorEastAsia" w:hint="eastAsia"/>
        </w:rPr>
        <w:t>国寿安保基金管理有限公司</w:t>
      </w:r>
    </w:p>
    <w:p w:rsidR="0060497E" w:rsidRDefault="00721304">
      <w:pPr>
        <w:pStyle w:val="a7"/>
        <w:shd w:val="clear" w:color="auto" w:fill="FFFFFF"/>
        <w:spacing w:before="240" w:beforeAutospacing="0" w:after="0" w:afterAutospacing="0" w:line="360" w:lineRule="auto"/>
        <w:jc w:val="right"/>
        <w:rPr>
          <w:rFonts w:asciiTheme="minorEastAsia" w:hAnsiTheme="minorEastAsia"/>
        </w:rPr>
      </w:pPr>
      <w:r>
        <w:rPr>
          <w:rFonts w:asciiTheme="minorEastAsia" w:eastAsiaTheme="minorEastAsia" w:hAnsiTheme="minorEastAsia" w:hint="eastAsia"/>
        </w:rPr>
        <w:t>202</w:t>
      </w:r>
      <w:r>
        <w:rPr>
          <w:rFonts w:asciiTheme="minorEastAsia" w:eastAsiaTheme="minorEastAsia" w:hAnsiTheme="minorEastAsia"/>
        </w:rPr>
        <w:t>5</w:t>
      </w:r>
      <w:r>
        <w:rPr>
          <w:rFonts w:asciiTheme="minorEastAsia" w:eastAsiaTheme="minorEastAsia" w:hAnsiTheme="minorEastAsia" w:hint="eastAsia"/>
        </w:rPr>
        <w:t>年</w:t>
      </w:r>
      <w:r>
        <w:rPr>
          <w:rFonts w:asciiTheme="minorEastAsia" w:eastAsiaTheme="minorEastAsia" w:hAnsiTheme="minorEastAsia"/>
        </w:rPr>
        <w:t>6</w:t>
      </w:r>
      <w:r>
        <w:rPr>
          <w:rFonts w:asciiTheme="minorEastAsia" w:eastAsiaTheme="minorEastAsia" w:hAnsiTheme="minorEastAsia" w:hint="eastAsia"/>
        </w:rPr>
        <w:t>月</w:t>
      </w:r>
      <w:r>
        <w:rPr>
          <w:rFonts w:asciiTheme="minorEastAsia" w:eastAsiaTheme="minorEastAsia" w:hAnsiTheme="minorEastAsia"/>
        </w:rPr>
        <w:t>28</w:t>
      </w:r>
      <w:r>
        <w:rPr>
          <w:rFonts w:asciiTheme="minorEastAsia" w:eastAsiaTheme="minorEastAsia" w:hAnsiTheme="minorEastAsia" w:hint="eastAsia"/>
        </w:rPr>
        <w:t>日</w:t>
      </w:r>
    </w:p>
    <w:sectPr w:rsidR="0060497E" w:rsidSect="00084880">
      <w:pgSz w:w="11906" w:h="16838"/>
      <w:pgMar w:top="1440" w:right="1701" w:bottom="1440" w:left="1797"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Calibri Light">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A3BC0"/>
    <w:rsid w:val="00076A4B"/>
    <w:rsid w:val="00084880"/>
    <w:rsid w:val="001940EE"/>
    <w:rsid w:val="001A3702"/>
    <w:rsid w:val="001B4553"/>
    <w:rsid w:val="001D515C"/>
    <w:rsid w:val="001E4A07"/>
    <w:rsid w:val="001F16C7"/>
    <w:rsid w:val="00200313"/>
    <w:rsid w:val="002441DF"/>
    <w:rsid w:val="00296CF3"/>
    <w:rsid w:val="002A322D"/>
    <w:rsid w:val="002A3BC0"/>
    <w:rsid w:val="002B2B96"/>
    <w:rsid w:val="00312C21"/>
    <w:rsid w:val="00361536"/>
    <w:rsid w:val="003C61A0"/>
    <w:rsid w:val="004305A3"/>
    <w:rsid w:val="0045042D"/>
    <w:rsid w:val="00477672"/>
    <w:rsid w:val="00491BE2"/>
    <w:rsid w:val="004B2DBE"/>
    <w:rsid w:val="00532CC4"/>
    <w:rsid w:val="00546575"/>
    <w:rsid w:val="00550A8B"/>
    <w:rsid w:val="005D6921"/>
    <w:rsid w:val="0060497E"/>
    <w:rsid w:val="00606423"/>
    <w:rsid w:val="0061540A"/>
    <w:rsid w:val="006527C4"/>
    <w:rsid w:val="006E60CC"/>
    <w:rsid w:val="00721304"/>
    <w:rsid w:val="00740BC0"/>
    <w:rsid w:val="007417E1"/>
    <w:rsid w:val="00770FB4"/>
    <w:rsid w:val="00790C1D"/>
    <w:rsid w:val="00797C30"/>
    <w:rsid w:val="007C6E2E"/>
    <w:rsid w:val="007D5DEA"/>
    <w:rsid w:val="007D6D85"/>
    <w:rsid w:val="00800E17"/>
    <w:rsid w:val="00834B34"/>
    <w:rsid w:val="008401BA"/>
    <w:rsid w:val="008569F3"/>
    <w:rsid w:val="0086065E"/>
    <w:rsid w:val="008A40C6"/>
    <w:rsid w:val="008E4124"/>
    <w:rsid w:val="008F6D5F"/>
    <w:rsid w:val="00926AAE"/>
    <w:rsid w:val="00931F00"/>
    <w:rsid w:val="009371FF"/>
    <w:rsid w:val="009426AC"/>
    <w:rsid w:val="00950313"/>
    <w:rsid w:val="00952073"/>
    <w:rsid w:val="0096646B"/>
    <w:rsid w:val="00977DE5"/>
    <w:rsid w:val="009A2473"/>
    <w:rsid w:val="009C0C8C"/>
    <w:rsid w:val="009C4754"/>
    <w:rsid w:val="00A22573"/>
    <w:rsid w:val="00A56676"/>
    <w:rsid w:val="00A575F4"/>
    <w:rsid w:val="00A701F2"/>
    <w:rsid w:val="00AA2A39"/>
    <w:rsid w:val="00AB2773"/>
    <w:rsid w:val="00AB4AE4"/>
    <w:rsid w:val="00AD7DC3"/>
    <w:rsid w:val="00AE7255"/>
    <w:rsid w:val="00B836D5"/>
    <w:rsid w:val="00B83B80"/>
    <w:rsid w:val="00B8602E"/>
    <w:rsid w:val="00BA07FB"/>
    <w:rsid w:val="00BA4C1D"/>
    <w:rsid w:val="00BE1693"/>
    <w:rsid w:val="00C06E21"/>
    <w:rsid w:val="00C1539E"/>
    <w:rsid w:val="00C50778"/>
    <w:rsid w:val="00C57434"/>
    <w:rsid w:val="00CA64DB"/>
    <w:rsid w:val="00CB21DB"/>
    <w:rsid w:val="00CB7E93"/>
    <w:rsid w:val="00CC5C7C"/>
    <w:rsid w:val="00D368EA"/>
    <w:rsid w:val="00D74D6B"/>
    <w:rsid w:val="00D90313"/>
    <w:rsid w:val="00DC7DDF"/>
    <w:rsid w:val="00DE173A"/>
    <w:rsid w:val="00E02003"/>
    <w:rsid w:val="00E60942"/>
    <w:rsid w:val="00E87D21"/>
    <w:rsid w:val="00E90517"/>
    <w:rsid w:val="00E9153D"/>
    <w:rsid w:val="00EC6BC4"/>
    <w:rsid w:val="00F00117"/>
    <w:rsid w:val="00F72E59"/>
    <w:rsid w:val="00F742DF"/>
    <w:rsid w:val="00F92EEE"/>
    <w:rsid w:val="00FD3D4F"/>
    <w:rsid w:val="00FE4EEB"/>
    <w:rsid w:val="00FF5DAE"/>
    <w:rsid w:val="0339255F"/>
    <w:rsid w:val="034970F5"/>
    <w:rsid w:val="03FA0835"/>
    <w:rsid w:val="04D93901"/>
    <w:rsid w:val="05095BE8"/>
    <w:rsid w:val="054D0FE4"/>
    <w:rsid w:val="05EB21B7"/>
    <w:rsid w:val="064F5D95"/>
    <w:rsid w:val="072C1907"/>
    <w:rsid w:val="0A597B01"/>
    <w:rsid w:val="0B5D3F7B"/>
    <w:rsid w:val="0C8F2488"/>
    <w:rsid w:val="0CCF503C"/>
    <w:rsid w:val="0CE90078"/>
    <w:rsid w:val="0CF53F00"/>
    <w:rsid w:val="0D8D0547"/>
    <w:rsid w:val="0ECC0260"/>
    <w:rsid w:val="0FD5552E"/>
    <w:rsid w:val="10C61234"/>
    <w:rsid w:val="1225170E"/>
    <w:rsid w:val="12600FEB"/>
    <w:rsid w:val="1412373A"/>
    <w:rsid w:val="1494097F"/>
    <w:rsid w:val="150A4379"/>
    <w:rsid w:val="15FB7847"/>
    <w:rsid w:val="16252D5D"/>
    <w:rsid w:val="16EB0FE0"/>
    <w:rsid w:val="178C677A"/>
    <w:rsid w:val="17C57C71"/>
    <w:rsid w:val="18AB786B"/>
    <w:rsid w:val="196D632D"/>
    <w:rsid w:val="1A184A75"/>
    <w:rsid w:val="1A537111"/>
    <w:rsid w:val="1A7A23D5"/>
    <w:rsid w:val="1B2D26C9"/>
    <w:rsid w:val="1BBD718E"/>
    <w:rsid w:val="1C725ABD"/>
    <w:rsid w:val="1C8301CF"/>
    <w:rsid w:val="1CFA1B9E"/>
    <w:rsid w:val="1D4D69FE"/>
    <w:rsid w:val="1E114BFA"/>
    <w:rsid w:val="1E57014A"/>
    <w:rsid w:val="1EAF0F69"/>
    <w:rsid w:val="1EB84D17"/>
    <w:rsid w:val="1FC92A64"/>
    <w:rsid w:val="21860922"/>
    <w:rsid w:val="219364C6"/>
    <w:rsid w:val="21947F45"/>
    <w:rsid w:val="22BB41FE"/>
    <w:rsid w:val="244C6D1D"/>
    <w:rsid w:val="25324B61"/>
    <w:rsid w:val="255A1689"/>
    <w:rsid w:val="256B4E88"/>
    <w:rsid w:val="259F44C0"/>
    <w:rsid w:val="25BF2BAD"/>
    <w:rsid w:val="268758E8"/>
    <w:rsid w:val="286E487A"/>
    <w:rsid w:val="29A21AA3"/>
    <w:rsid w:val="2B4D69AB"/>
    <w:rsid w:val="2C0A0125"/>
    <w:rsid w:val="2C2C6075"/>
    <w:rsid w:val="2E1A75F6"/>
    <w:rsid w:val="311D480A"/>
    <w:rsid w:val="314E14A4"/>
    <w:rsid w:val="31EF4446"/>
    <w:rsid w:val="33135DF4"/>
    <w:rsid w:val="36CB46A1"/>
    <w:rsid w:val="37E120D0"/>
    <w:rsid w:val="386E550D"/>
    <w:rsid w:val="39845691"/>
    <w:rsid w:val="3BFD37CF"/>
    <w:rsid w:val="3C2430D6"/>
    <w:rsid w:val="3C731030"/>
    <w:rsid w:val="3D073226"/>
    <w:rsid w:val="3D502889"/>
    <w:rsid w:val="3E8149C2"/>
    <w:rsid w:val="3EA753F4"/>
    <w:rsid w:val="3FA4496F"/>
    <w:rsid w:val="400B27CD"/>
    <w:rsid w:val="40B2645A"/>
    <w:rsid w:val="40BE5B35"/>
    <w:rsid w:val="41ED2B87"/>
    <w:rsid w:val="452F5E30"/>
    <w:rsid w:val="46B1166D"/>
    <w:rsid w:val="471D3B10"/>
    <w:rsid w:val="48AA0715"/>
    <w:rsid w:val="4907241A"/>
    <w:rsid w:val="49F500D2"/>
    <w:rsid w:val="4B0D6574"/>
    <w:rsid w:val="4B5A24B7"/>
    <w:rsid w:val="4C4E4618"/>
    <w:rsid w:val="4D843207"/>
    <w:rsid w:val="4ECA11F5"/>
    <w:rsid w:val="4F821DF2"/>
    <w:rsid w:val="516A47F4"/>
    <w:rsid w:val="51E6663B"/>
    <w:rsid w:val="523761B2"/>
    <w:rsid w:val="54985611"/>
    <w:rsid w:val="55131CB4"/>
    <w:rsid w:val="55835596"/>
    <w:rsid w:val="55B72D12"/>
    <w:rsid w:val="55D15324"/>
    <w:rsid w:val="56295E84"/>
    <w:rsid w:val="566B59B9"/>
    <w:rsid w:val="568469F7"/>
    <w:rsid w:val="56B265E8"/>
    <w:rsid w:val="57BE3165"/>
    <w:rsid w:val="5A4858CC"/>
    <w:rsid w:val="5AA407AE"/>
    <w:rsid w:val="5CA9316D"/>
    <w:rsid w:val="5CC152D1"/>
    <w:rsid w:val="5D745A6F"/>
    <w:rsid w:val="5D852D5F"/>
    <w:rsid w:val="5E542DDE"/>
    <w:rsid w:val="60024EF3"/>
    <w:rsid w:val="605539BC"/>
    <w:rsid w:val="606E4650"/>
    <w:rsid w:val="608E282C"/>
    <w:rsid w:val="60D36BE0"/>
    <w:rsid w:val="60DF645A"/>
    <w:rsid w:val="61CD0A92"/>
    <w:rsid w:val="63940A9B"/>
    <w:rsid w:val="642D4046"/>
    <w:rsid w:val="646A218E"/>
    <w:rsid w:val="65696495"/>
    <w:rsid w:val="65CB5D04"/>
    <w:rsid w:val="65CC5123"/>
    <w:rsid w:val="66350E6A"/>
    <w:rsid w:val="66492A8E"/>
    <w:rsid w:val="67214493"/>
    <w:rsid w:val="688829A9"/>
    <w:rsid w:val="691E1704"/>
    <w:rsid w:val="6D335F63"/>
    <w:rsid w:val="6D5371BB"/>
    <w:rsid w:val="6E635729"/>
    <w:rsid w:val="6E894080"/>
    <w:rsid w:val="6F3C097A"/>
    <w:rsid w:val="6F915962"/>
    <w:rsid w:val="6FA07580"/>
    <w:rsid w:val="6FE07E0C"/>
    <w:rsid w:val="705105E4"/>
    <w:rsid w:val="708E1D86"/>
    <w:rsid w:val="72740CDF"/>
    <w:rsid w:val="73001815"/>
    <w:rsid w:val="73724A87"/>
    <w:rsid w:val="73727620"/>
    <w:rsid w:val="749A0933"/>
    <w:rsid w:val="74CA0F5B"/>
    <w:rsid w:val="750241DB"/>
    <w:rsid w:val="75F673A4"/>
    <w:rsid w:val="7625785B"/>
    <w:rsid w:val="77066263"/>
    <w:rsid w:val="773D708A"/>
    <w:rsid w:val="77D35762"/>
    <w:rsid w:val="78F32F16"/>
    <w:rsid w:val="7A2B6488"/>
    <w:rsid w:val="7A657643"/>
    <w:rsid w:val="7AC22A76"/>
    <w:rsid w:val="7CB64D6E"/>
    <w:rsid w:val="7DCB4F8E"/>
    <w:rsid w:val="7DCB6911"/>
    <w:rsid w:val="7DDB4A60"/>
    <w:rsid w:val="7E160212"/>
    <w:rsid w:val="7E47075D"/>
    <w:rsid w:val="7EB25E38"/>
    <w:rsid w:val="7FDF6A5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annotation subject" w:qFormat="1"/>
    <w:lsdException w:name="Balloon Text" w:qFormat="1"/>
    <w:lsdException w:name="Table Grid" w:uiPriority="39"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488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semiHidden/>
    <w:unhideWhenUsed/>
    <w:qFormat/>
    <w:rsid w:val="00084880"/>
    <w:pPr>
      <w:jc w:val="left"/>
    </w:pPr>
  </w:style>
  <w:style w:type="paragraph" w:styleId="a4">
    <w:name w:val="Balloon Text"/>
    <w:basedOn w:val="a"/>
    <w:link w:val="Char0"/>
    <w:uiPriority w:val="99"/>
    <w:semiHidden/>
    <w:unhideWhenUsed/>
    <w:qFormat/>
    <w:rsid w:val="00084880"/>
    <w:rPr>
      <w:sz w:val="18"/>
      <w:szCs w:val="18"/>
    </w:rPr>
  </w:style>
  <w:style w:type="paragraph" w:styleId="a5">
    <w:name w:val="footer"/>
    <w:basedOn w:val="a"/>
    <w:link w:val="Char1"/>
    <w:uiPriority w:val="99"/>
    <w:unhideWhenUsed/>
    <w:qFormat/>
    <w:rsid w:val="00084880"/>
    <w:pPr>
      <w:tabs>
        <w:tab w:val="center" w:pos="4153"/>
        <w:tab w:val="right" w:pos="8306"/>
      </w:tabs>
      <w:snapToGrid w:val="0"/>
      <w:jc w:val="left"/>
    </w:pPr>
    <w:rPr>
      <w:sz w:val="18"/>
      <w:szCs w:val="18"/>
    </w:rPr>
  </w:style>
  <w:style w:type="paragraph" w:styleId="a6">
    <w:name w:val="header"/>
    <w:basedOn w:val="a"/>
    <w:link w:val="Char2"/>
    <w:uiPriority w:val="99"/>
    <w:unhideWhenUsed/>
    <w:qFormat/>
    <w:rsid w:val="00084880"/>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rsid w:val="00084880"/>
    <w:pPr>
      <w:widowControl/>
      <w:spacing w:before="100" w:beforeAutospacing="1" w:after="100" w:afterAutospacing="1"/>
      <w:jc w:val="left"/>
    </w:pPr>
    <w:rPr>
      <w:rFonts w:ascii="宋体" w:eastAsia="宋体" w:hAnsi="宋体" w:cs="宋体"/>
      <w:kern w:val="0"/>
      <w:sz w:val="24"/>
      <w:szCs w:val="24"/>
    </w:rPr>
  </w:style>
  <w:style w:type="paragraph" w:styleId="a8">
    <w:name w:val="annotation subject"/>
    <w:basedOn w:val="a3"/>
    <w:next w:val="a3"/>
    <w:link w:val="Char3"/>
    <w:uiPriority w:val="99"/>
    <w:semiHidden/>
    <w:unhideWhenUsed/>
    <w:qFormat/>
    <w:rsid w:val="00084880"/>
    <w:rPr>
      <w:b/>
      <w:bCs/>
    </w:rPr>
  </w:style>
  <w:style w:type="table" w:styleId="a9">
    <w:name w:val="Table Grid"/>
    <w:basedOn w:val="a1"/>
    <w:uiPriority w:val="39"/>
    <w:qFormat/>
    <w:rsid w:val="000848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basedOn w:val="a0"/>
    <w:uiPriority w:val="99"/>
    <w:semiHidden/>
    <w:unhideWhenUsed/>
    <w:qFormat/>
    <w:rsid w:val="00084880"/>
    <w:rPr>
      <w:sz w:val="21"/>
      <w:szCs w:val="21"/>
    </w:rPr>
  </w:style>
  <w:style w:type="character" w:customStyle="1" w:styleId="Char2">
    <w:name w:val="页眉 Char"/>
    <w:basedOn w:val="a0"/>
    <w:link w:val="a6"/>
    <w:uiPriority w:val="99"/>
    <w:qFormat/>
    <w:rsid w:val="00084880"/>
    <w:rPr>
      <w:sz w:val="18"/>
      <w:szCs w:val="18"/>
    </w:rPr>
  </w:style>
  <w:style w:type="character" w:customStyle="1" w:styleId="Char1">
    <w:name w:val="页脚 Char"/>
    <w:basedOn w:val="a0"/>
    <w:link w:val="a5"/>
    <w:uiPriority w:val="99"/>
    <w:qFormat/>
    <w:rsid w:val="00084880"/>
    <w:rPr>
      <w:sz w:val="18"/>
      <w:szCs w:val="18"/>
    </w:rPr>
  </w:style>
  <w:style w:type="character" w:customStyle="1" w:styleId="Char0">
    <w:name w:val="批注框文本 Char"/>
    <w:basedOn w:val="a0"/>
    <w:link w:val="a4"/>
    <w:uiPriority w:val="99"/>
    <w:semiHidden/>
    <w:qFormat/>
    <w:rsid w:val="00084880"/>
    <w:rPr>
      <w:sz w:val="18"/>
      <w:szCs w:val="18"/>
    </w:rPr>
  </w:style>
  <w:style w:type="character" w:customStyle="1" w:styleId="Char">
    <w:name w:val="批注文字 Char"/>
    <w:basedOn w:val="a0"/>
    <w:link w:val="a3"/>
    <w:uiPriority w:val="99"/>
    <w:semiHidden/>
    <w:qFormat/>
    <w:rsid w:val="00084880"/>
  </w:style>
  <w:style w:type="character" w:customStyle="1" w:styleId="Char3">
    <w:name w:val="批注主题 Char"/>
    <w:basedOn w:val="Char"/>
    <w:link w:val="a8"/>
    <w:uiPriority w:val="99"/>
    <w:semiHidden/>
    <w:qFormat/>
    <w:rsid w:val="00084880"/>
    <w:rPr>
      <w:b/>
      <w:b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455E3-D2A7-46A7-ADBD-61ECFA8B9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Words>
  <Characters>1054</Characters>
  <Application>Microsoft Office Word</Application>
  <DocSecurity>4</DocSecurity>
  <Lines>8</Lines>
  <Paragraphs>2</Paragraphs>
  <ScaleCrop>false</ScaleCrop>
  <Company>Microsoft</Company>
  <LinksUpToDate>false</LinksUpToDate>
  <CharactersWithSpaces>1236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吴宪</dc:creator>
  <cp:lastModifiedBy>ZHONGM</cp:lastModifiedBy>
  <cp:revision>2</cp:revision>
  <dcterms:created xsi:type="dcterms:W3CDTF">2025-06-27T16:02:00Z</dcterms:created>
  <dcterms:modified xsi:type="dcterms:W3CDTF">2025-06-27T16:02:00Z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71D80F8F382C440BB8659CB7C9294691</vt:lpwstr>
  </property>
</Properties>
</file>