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D60" w:rsidRDefault="00FF7025">
      <w:pPr>
        <w:pStyle w:val="font14"/>
        <w:jc w:val="center"/>
        <w:rPr>
          <w:rStyle w:val="a9"/>
          <w:rFonts w:ascii="Times New Roman" w:hAnsi="Times New Roman" w:cs="Times New Roman"/>
          <w:sz w:val="36"/>
          <w:szCs w:val="36"/>
        </w:rPr>
      </w:pPr>
      <w:r>
        <w:rPr>
          <w:rStyle w:val="a9"/>
          <w:rFonts w:ascii="Times New Roman" w:hAnsi="Times New Roman" w:cs="Times New Roman"/>
          <w:sz w:val="36"/>
          <w:szCs w:val="36"/>
        </w:rPr>
        <w:t>易方达基金管理有限公司关于旗下部分基金获配</w:t>
      </w:r>
      <w:r>
        <w:rPr>
          <w:rStyle w:val="a9"/>
          <w:rFonts w:ascii="Times New Roman" w:hAnsi="Times New Roman" w:cs="Times New Roman" w:hint="eastAsia"/>
          <w:sz w:val="36"/>
          <w:szCs w:val="36"/>
        </w:rPr>
        <w:t>芯</w:t>
      </w:r>
    </w:p>
    <w:p w:rsidR="004B1D60" w:rsidRDefault="00FF7025">
      <w:pPr>
        <w:pStyle w:val="font14"/>
        <w:jc w:val="center"/>
        <w:rPr>
          <w:rFonts w:ascii="Times New Roman" w:hAnsi="Times New Roman" w:cs="Times New Roman"/>
          <w:sz w:val="36"/>
          <w:szCs w:val="36"/>
        </w:rPr>
      </w:pPr>
      <w:r>
        <w:rPr>
          <w:rStyle w:val="a9"/>
          <w:rFonts w:ascii="Times New Roman" w:hAnsi="Times New Roman" w:cs="Times New Roman" w:hint="eastAsia"/>
          <w:sz w:val="36"/>
          <w:szCs w:val="36"/>
        </w:rPr>
        <w:t>原股份</w:t>
      </w:r>
      <w:r>
        <w:rPr>
          <w:rStyle w:val="a9"/>
          <w:rFonts w:ascii="Times New Roman" w:hAnsi="Times New Roman" w:cs="Times New Roman"/>
          <w:sz w:val="36"/>
          <w:szCs w:val="36"/>
        </w:rPr>
        <w:t>（</w:t>
      </w:r>
      <w:r>
        <w:rPr>
          <w:rStyle w:val="a9"/>
          <w:rFonts w:ascii="Times New Roman" w:hAnsi="Times New Roman" w:cs="Times New Roman" w:hint="eastAsia"/>
          <w:sz w:val="36"/>
          <w:szCs w:val="36"/>
        </w:rPr>
        <w:t>688521</w:t>
      </w:r>
      <w:r>
        <w:rPr>
          <w:rStyle w:val="a9"/>
          <w:rFonts w:ascii="Times New Roman" w:hAnsi="Times New Roman" w:cs="Times New Roman"/>
          <w:sz w:val="36"/>
          <w:szCs w:val="36"/>
        </w:rPr>
        <w:t>）非公开发行</w:t>
      </w:r>
      <w:r>
        <w:rPr>
          <w:rStyle w:val="a9"/>
          <w:rFonts w:ascii="Times New Roman" w:hAnsi="Times New Roman" w:cs="Times New Roman"/>
          <w:sz w:val="36"/>
          <w:szCs w:val="36"/>
        </w:rPr>
        <w:t>A</w:t>
      </w:r>
      <w:r>
        <w:rPr>
          <w:rStyle w:val="a9"/>
          <w:rFonts w:ascii="Times New Roman" w:hAnsi="Times New Roman" w:cs="Times New Roman"/>
          <w:sz w:val="36"/>
          <w:szCs w:val="36"/>
        </w:rPr>
        <w:t>股</w:t>
      </w:r>
      <w:r>
        <w:rPr>
          <w:rStyle w:val="a9"/>
          <w:rFonts w:ascii="Times New Roman" w:hAnsi="Times New Roman" w:cs="Times New Roman" w:hint="eastAsia"/>
          <w:sz w:val="36"/>
          <w:szCs w:val="36"/>
        </w:rPr>
        <w:t>及</w:t>
      </w:r>
      <w:bookmarkStart w:id="0" w:name="_GoBack"/>
      <w:bookmarkEnd w:id="0"/>
      <w:r>
        <w:rPr>
          <w:rStyle w:val="a9"/>
          <w:rFonts w:ascii="Times New Roman" w:hAnsi="Times New Roman" w:cs="Times New Roman" w:hint="eastAsia"/>
          <w:sz w:val="36"/>
          <w:szCs w:val="36"/>
        </w:rPr>
        <w:t>关联交易事项</w:t>
      </w:r>
      <w:r>
        <w:rPr>
          <w:rStyle w:val="a9"/>
          <w:rFonts w:ascii="Times New Roman" w:hAnsi="Times New Roman" w:cs="Times New Roman"/>
          <w:sz w:val="36"/>
          <w:szCs w:val="36"/>
        </w:rPr>
        <w:t>的公告</w:t>
      </w:r>
    </w:p>
    <w:p w:rsidR="004B1D60" w:rsidRDefault="00FF7025">
      <w:pPr>
        <w:widowControl/>
        <w:spacing w:line="360" w:lineRule="auto"/>
        <w:ind w:firstLineChars="200" w:firstLine="480"/>
        <w:rPr>
          <w:kern w:val="0"/>
          <w:sz w:val="24"/>
        </w:rPr>
      </w:pPr>
      <w:r>
        <w:rPr>
          <w:kern w:val="0"/>
          <w:sz w:val="24"/>
        </w:rPr>
        <w:t>根据</w:t>
      </w:r>
      <w:r>
        <w:rPr>
          <w:rFonts w:hint="eastAsia"/>
          <w:kern w:val="0"/>
          <w:sz w:val="24"/>
        </w:rPr>
        <w:t>《公开募集证券投资基金运作管理办法》</w:t>
      </w:r>
      <w:r>
        <w:rPr>
          <w:kern w:val="0"/>
          <w:sz w:val="24"/>
        </w:rPr>
        <w:t>《公开募集证券投资基金信息披露管理办法》《关于基金投资非公开发行股票等流通受限证券有关问题的通知》等有关规定</w:t>
      </w:r>
      <w:r>
        <w:rPr>
          <w:rFonts w:hint="eastAsia"/>
          <w:kern w:val="0"/>
          <w:sz w:val="24"/>
        </w:rPr>
        <w:t>，在履行规定审批程序并经基金托管人同意后，</w:t>
      </w:r>
      <w:r>
        <w:rPr>
          <w:kern w:val="0"/>
          <w:sz w:val="24"/>
        </w:rPr>
        <w:t>易方达基金管理有限公司</w:t>
      </w:r>
      <w:r>
        <w:rPr>
          <w:rFonts w:hint="eastAsia"/>
          <w:kern w:val="0"/>
          <w:sz w:val="24"/>
        </w:rPr>
        <w:t>（</w:t>
      </w:r>
      <w:r>
        <w:rPr>
          <w:kern w:val="0"/>
          <w:sz w:val="24"/>
        </w:rPr>
        <w:t>以下简称</w:t>
      </w:r>
      <w:r>
        <w:rPr>
          <w:rFonts w:hint="eastAsia"/>
          <w:kern w:val="0"/>
          <w:sz w:val="24"/>
        </w:rPr>
        <w:t>“</w:t>
      </w:r>
      <w:r>
        <w:rPr>
          <w:kern w:val="0"/>
          <w:sz w:val="24"/>
        </w:rPr>
        <w:t>本公司</w:t>
      </w:r>
      <w:r>
        <w:rPr>
          <w:rFonts w:hint="eastAsia"/>
          <w:kern w:val="0"/>
          <w:sz w:val="24"/>
        </w:rPr>
        <w:t>”）</w:t>
      </w:r>
      <w:r>
        <w:rPr>
          <w:kern w:val="0"/>
          <w:sz w:val="24"/>
        </w:rPr>
        <w:t>所管理的部分基金参加了</w:t>
      </w:r>
      <w:r>
        <w:rPr>
          <w:rFonts w:hint="eastAsia"/>
          <w:kern w:val="0"/>
          <w:sz w:val="24"/>
        </w:rPr>
        <w:t>芯原微电子</w:t>
      </w:r>
      <w:r>
        <w:rPr>
          <w:rFonts w:hint="eastAsia"/>
          <w:kern w:val="0"/>
          <w:sz w:val="24"/>
        </w:rPr>
        <w:t>（</w:t>
      </w:r>
      <w:r>
        <w:rPr>
          <w:rFonts w:hint="eastAsia"/>
          <w:kern w:val="0"/>
          <w:sz w:val="24"/>
        </w:rPr>
        <w:t>上海</w:t>
      </w:r>
      <w:r>
        <w:rPr>
          <w:rFonts w:hint="eastAsia"/>
          <w:kern w:val="0"/>
          <w:sz w:val="24"/>
        </w:rPr>
        <w:t>）</w:t>
      </w:r>
      <w:r>
        <w:rPr>
          <w:rFonts w:hint="eastAsia"/>
          <w:kern w:val="0"/>
          <w:sz w:val="24"/>
        </w:rPr>
        <w:t>股份有限公司</w:t>
      </w:r>
      <w:r>
        <w:rPr>
          <w:rFonts w:hint="eastAsia"/>
          <w:kern w:val="0"/>
          <w:sz w:val="24"/>
        </w:rPr>
        <w:t>（</w:t>
      </w:r>
      <w:r>
        <w:rPr>
          <w:kern w:val="0"/>
          <w:sz w:val="24"/>
        </w:rPr>
        <w:t>以下简称</w:t>
      </w:r>
      <w:r>
        <w:rPr>
          <w:rFonts w:hint="eastAsia"/>
          <w:kern w:val="0"/>
          <w:sz w:val="24"/>
        </w:rPr>
        <w:t>“芯原股份”）</w:t>
      </w:r>
      <w:r>
        <w:rPr>
          <w:kern w:val="0"/>
          <w:sz w:val="24"/>
        </w:rPr>
        <w:t>非公开发行股票的认</w:t>
      </w:r>
      <w:r>
        <w:rPr>
          <w:rFonts w:hint="eastAsia"/>
          <w:kern w:val="0"/>
          <w:sz w:val="24"/>
        </w:rPr>
        <w:t>购，</w:t>
      </w:r>
      <w:r>
        <w:rPr>
          <w:rFonts w:hint="eastAsia"/>
          <w:kern w:val="0"/>
          <w:sz w:val="24"/>
        </w:rPr>
        <w:t>芯原股份</w:t>
      </w:r>
      <w:r>
        <w:rPr>
          <w:rFonts w:hint="eastAsia"/>
          <w:kern w:val="0"/>
          <w:sz w:val="24"/>
        </w:rPr>
        <w:t>此次发行的联席主承销商</w:t>
      </w:r>
      <w:r>
        <w:rPr>
          <w:rFonts w:hint="eastAsia"/>
          <w:kern w:val="0"/>
          <w:sz w:val="24"/>
        </w:rPr>
        <w:t>国泰海通证券股份有限公司</w:t>
      </w:r>
      <w:r>
        <w:rPr>
          <w:rFonts w:hint="eastAsia"/>
          <w:kern w:val="0"/>
          <w:sz w:val="24"/>
        </w:rPr>
        <w:t>为</w:t>
      </w:r>
      <w:r>
        <w:rPr>
          <w:rFonts w:hint="eastAsia"/>
          <w:kern w:val="0"/>
          <w:sz w:val="24"/>
        </w:rPr>
        <w:t>本公司旗下</w:t>
      </w:r>
      <w:r>
        <w:rPr>
          <w:rFonts w:hint="eastAsia"/>
          <w:kern w:val="0"/>
          <w:sz w:val="24"/>
        </w:rPr>
        <w:t>部分基金</w:t>
      </w:r>
      <w:r>
        <w:rPr>
          <w:rFonts w:hint="eastAsia"/>
          <w:kern w:val="0"/>
          <w:sz w:val="24"/>
        </w:rPr>
        <w:t>的托管人上海浦东发展银行股份有限公司的关联方。国泰海通证券股份有限公司的实际控制人上海国际集团有限公司系上海浦东发展银行股份有限公司的主要股东。</w:t>
      </w:r>
      <w:r>
        <w:rPr>
          <w:rFonts w:hint="eastAsia"/>
          <w:kern w:val="0"/>
          <w:sz w:val="24"/>
        </w:rPr>
        <w:t>芯原股份</w:t>
      </w:r>
      <w:r>
        <w:rPr>
          <w:rFonts w:hint="eastAsia"/>
          <w:kern w:val="0"/>
          <w:sz w:val="24"/>
        </w:rPr>
        <w:t>此次发行价格为</w:t>
      </w:r>
      <w:r>
        <w:rPr>
          <w:rFonts w:hint="eastAsia"/>
          <w:kern w:val="0"/>
          <w:sz w:val="24"/>
        </w:rPr>
        <w:t>72.68</w:t>
      </w:r>
      <w:r>
        <w:rPr>
          <w:rFonts w:hint="eastAsia"/>
          <w:kern w:val="0"/>
          <w:sz w:val="24"/>
        </w:rPr>
        <w:t>元</w:t>
      </w:r>
      <w:r>
        <w:rPr>
          <w:rFonts w:hint="eastAsia"/>
          <w:kern w:val="0"/>
          <w:sz w:val="24"/>
        </w:rPr>
        <w:t>/</w:t>
      </w:r>
      <w:r>
        <w:rPr>
          <w:rFonts w:hint="eastAsia"/>
          <w:kern w:val="0"/>
          <w:sz w:val="24"/>
        </w:rPr>
        <w:t>股，由发行人与联席主承销商根据簿记建档的情况，结合本次发行的定价方式和募集资金的需求情况确定。</w:t>
      </w:r>
    </w:p>
    <w:p w:rsidR="004B1D60" w:rsidRDefault="00FF7025">
      <w:pPr>
        <w:widowControl/>
        <w:spacing w:after="240" w:line="360" w:lineRule="auto"/>
        <w:ind w:firstLineChars="200" w:firstLine="480"/>
        <w:rPr>
          <w:kern w:val="0"/>
          <w:sz w:val="24"/>
        </w:rPr>
      </w:pPr>
      <w:r>
        <w:rPr>
          <w:rFonts w:hint="eastAsia"/>
          <w:kern w:val="0"/>
          <w:sz w:val="24"/>
        </w:rPr>
        <w:t>本公司</w:t>
      </w:r>
      <w:r>
        <w:rPr>
          <w:kern w:val="0"/>
          <w:sz w:val="24"/>
        </w:rPr>
        <w:t>现将</w:t>
      </w:r>
      <w:r>
        <w:rPr>
          <w:rFonts w:hint="eastAsia"/>
          <w:kern w:val="0"/>
          <w:sz w:val="24"/>
        </w:rPr>
        <w:t>旗下</w:t>
      </w:r>
      <w:r>
        <w:rPr>
          <w:kern w:val="0"/>
          <w:sz w:val="24"/>
        </w:rPr>
        <w:t>基金获配</w:t>
      </w:r>
      <w:r>
        <w:rPr>
          <w:rFonts w:hint="eastAsia"/>
          <w:kern w:val="0"/>
          <w:sz w:val="24"/>
        </w:rPr>
        <w:t>芯原股份</w:t>
      </w:r>
      <w:r>
        <w:rPr>
          <w:kern w:val="0"/>
          <w:sz w:val="24"/>
        </w:rPr>
        <w:t>非公开发行股票情况披露如下：</w:t>
      </w:r>
    </w:p>
    <w:tbl>
      <w:tblPr>
        <w:tblStyle w:val="a8"/>
        <w:tblW w:w="8959" w:type="dxa"/>
        <w:jc w:val="center"/>
        <w:tblLayout w:type="fixed"/>
        <w:tblLook w:val="04A0"/>
      </w:tblPr>
      <w:tblGrid>
        <w:gridCol w:w="1466"/>
        <w:gridCol w:w="1154"/>
        <w:gridCol w:w="1537"/>
        <w:gridCol w:w="872"/>
        <w:gridCol w:w="1584"/>
        <w:gridCol w:w="835"/>
        <w:gridCol w:w="806"/>
        <w:gridCol w:w="705"/>
      </w:tblGrid>
      <w:tr w:rsidR="004B1D60">
        <w:trPr>
          <w:jc w:val="center"/>
        </w:trPr>
        <w:tc>
          <w:tcPr>
            <w:tcW w:w="1466" w:type="dxa"/>
            <w:vAlign w:val="center"/>
          </w:tcPr>
          <w:p w:rsidR="004B1D60" w:rsidRDefault="00FF7025">
            <w:pPr>
              <w:widowControl/>
              <w:jc w:val="center"/>
              <w:rPr>
                <w:color w:val="000000"/>
                <w:kern w:val="0"/>
                <w:szCs w:val="21"/>
              </w:rPr>
            </w:pPr>
            <w:r>
              <w:rPr>
                <w:color w:val="000000"/>
                <w:kern w:val="0"/>
                <w:szCs w:val="21"/>
              </w:rPr>
              <w:t>基金名称</w:t>
            </w:r>
          </w:p>
        </w:tc>
        <w:tc>
          <w:tcPr>
            <w:tcW w:w="1154" w:type="dxa"/>
            <w:vAlign w:val="center"/>
          </w:tcPr>
          <w:p w:rsidR="004B1D60" w:rsidRDefault="00FF7025">
            <w:pPr>
              <w:widowControl/>
              <w:jc w:val="center"/>
              <w:rPr>
                <w:color w:val="000000"/>
                <w:kern w:val="0"/>
                <w:szCs w:val="21"/>
              </w:rPr>
            </w:pPr>
            <w:r>
              <w:rPr>
                <w:color w:val="000000"/>
                <w:kern w:val="0"/>
                <w:szCs w:val="21"/>
              </w:rPr>
              <w:t>获配数量（股）</w:t>
            </w:r>
          </w:p>
        </w:tc>
        <w:tc>
          <w:tcPr>
            <w:tcW w:w="1537" w:type="dxa"/>
            <w:vAlign w:val="center"/>
          </w:tcPr>
          <w:p w:rsidR="004B1D60" w:rsidRDefault="00FF7025">
            <w:pPr>
              <w:widowControl/>
              <w:jc w:val="center"/>
              <w:rPr>
                <w:color w:val="000000"/>
                <w:kern w:val="0"/>
                <w:szCs w:val="21"/>
              </w:rPr>
            </w:pPr>
            <w:r>
              <w:rPr>
                <w:color w:val="000000"/>
                <w:kern w:val="0"/>
                <w:szCs w:val="21"/>
              </w:rPr>
              <w:t>总成本（元）</w:t>
            </w:r>
          </w:p>
        </w:tc>
        <w:tc>
          <w:tcPr>
            <w:tcW w:w="872" w:type="dxa"/>
            <w:vAlign w:val="center"/>
          </w:tcPr>
          <w:p w:rsidR="004B1D60" w:rsidRDefault="00FF7025">
            <w:pPr>
              <w:widowControl/>
              <w:jc w:val="center"/>
              <w:rPr>
                <w:color w:val="000000"/>
                <w:kern w:val="0"/>
                <w:szCs w:val="21"/>
              </w:rPr>
            </w:pPr>
            <w:r>
              <w:rPr>
                <w:color w:val="000000"/>
                <w:kern w:val="0"/>
                <w:szCs w:val="21"/>
              </w:rPr>
              <w:t>总成本占基金资产净值比例</w:t>
            </w:r>
          </w:p>
        </w:tc>
        <w:tc>
          <w:tcPr>
            <w:tcW w:w="1584" w:type="dxa"/>
            <w:vAlign w:val="center"/>
          </w:tcPr>
          <w:p w:rsidR="004B1D60" w:rsidRDefault="00FF7025">
            <w:pPr>
              <w:widowControl/>
              <w:jc w:val="center"/>
              <w:rPr>
                <w:color w:val="000000"/>
                <w:kern w:val="0"/>
                <w:szCs w:val="21"/>
              </w:rPr>
            </w:pPr>
            <w:r>
              <w:rPr>
                <w:color w:val="000000"/>
                <w:kern w:val="0"/>
                <w:szCs w:val="21"/>
              </w:rPr>
              <w:t>账面价值（元）</w:t>
            </w:r>
          </w:p>
        </w:tc>
        <w:tc>
          <w:tcPr>
            <w:tcW w:w="835" w:type="dxa"/>
            <w:vAlign w:val="center"/>
          </w:tcPr>
          <w:p w:rsidR="004B1D60" w:rsidRDefault="00FF7025">
            <w:pPr>
              <w:widowControl/>
              <w:jc w:val="center"/>
              <w:rPr>
                <w:color w:val="000000"/>
                <w:kern w:val="0"/>
                <w:szCs w:val="21"/>
              </w:rPr>
            </w:pPr>
            <w:r>
              <w:rPr>
                <w:color w:val="000000"/>
                <w:kern w:val="0"/>
                <w:szCs w:val="21"/>
              </w:rPr>
              <w:t>账面价值占基金资产净值比例</w:t>
            </w:r>
          </w:p>
        </w:tc>
        <w:tc>
          <w:tcPr>
            <w:tcW w:w="806" w:type="dxa"/>
            <w:vAlign w:val="center"/>
          </w:tcPr>
          <w:p w:rsidR="004B1D60" w:rsidRDefault="00FF7025">
            <w:pPr>
              <w:widowControl/>
              <w:jc w:val="center"/>
              <w:rPr>
                <w:color w:val="000000"/>
                <w:kern w:val="0"/>
                <w:szCs w:val="21"/>
              </w:rPr>
            </w:pPr>
            <w:r>
              <w:rPr>
                <w:color w:val="000000"/>
                <w:kern w:val="0"/>
                <w:szCs w:val="21"/>
              </w:rPr>
              <w:t>锁定期</w:t>
            </w:r>
          </w:p>
        </w:tc>
        <w:tc>
          <w:tcPr>
            <w:tcW w:w="705" w:type="dxa"/>
            <w:vAlign w:val="center"/>
          </w:tcPr>
          <w:p w:rsidR="004B1D60" w:rsidRDefault="00FF7025">
            <w:pPr>
              <w:widowControl/>
              <w:jc w:val="center"/>
              <w:rPr>
                <w:color w:val="000000"/>
                <w:kern w:val="0"/>
                <w:szCs w:val="21"/>
              </w:rPr>
            </w:pPr>
            <w:r>
              <w:rPr>
                <w:rFonts w:hint="eastAsia"/>
                <w:color w:val="000000"/>
                <w:kern w:val="0"/>
                <w:szCs w:val="21"/>
              </w:rPr>
              <w:t>基金托管人是否为浦发银行</w:t>
            </w:r>
          </w:p>
        </w:tc>
      </w:tr>
      <w:tr w:rsidR="004B1D60">
        <w:trPr>
          <w:jc w:val="center"/>
        </w:trPr>
        <w:tc>
          <w:tcPr>
            <w:tcW w:w="1466" w:type="dxa"/>
            <w:vAlign w:val="center"/>
          </w:tcPr>
          <w:p w:rsidR="004B1D60" w:rsidRDefault="00FF7025">
            <w:pPr>
              <w:jc w:val="center"/>
              <w:rPr>
                <w:szCs w:val="21"/>
              </w:rPr>
            </w:pPr>
            <w:r>
              <w:rPr>
                <w:rFonts w:hint="eastAsia"/>
                <w:szCs w:val="21"/>
              </w:rPr>
              <w:t>易方达裕丰回报债券型证券投资基金</w:t>
            </w:r>
          </w:p>
        </w:tc>
        <w:tc>
          <w:tcPr>
            <w:tcW w:w="1154" w:type="dxa"/>
            <w:vAlign w:val="center"/>
          </w:tcPr>
          <w:p w:rsidR="004B1D60" w:rsidRDefault="00FF7025">
            <w:pPr>
              <w:jc w:val="right"/>
              <w:rPr>
                <w:szCs w:val="21"/>
              </w:rPr>
            </w:pPr>
            <w:r>
              <w:rPr>
                <w:rFonts w:hint="eastAsia"/>
                <w:szCs w:val="21"/>
              </w:rPr>
              <w:t>1,101,000</w:t>
            </w:r>
          </w:p>
        </w:tc>
        <w:tc>
          <w:tcPr>
            <w:tcW w:w="1537" w:type="dxa"/>
            <w:vAlign w:val="center"/>
          </w:tcPr>
          <w:p w:rsidR="004B1D60" w:rsidRDefault="00FF7025">
            <w:pPr>
              <w:jc w:val="right"/>
              <w:rPr>
                <w:szCs w:val="21"/>
              </w:rPr>
            </w:pPr>
            <w:r>
              <w:rPr>
                <w:rFonts w:hint="eastAsia"/>
                <w:szCs w:val="21"/>
              </w:rPr>
              <w:t>80,020,680.00</w:t>
            </w:r>
          </w:p>
        </w:tc>
        <w:tc>
          <w:tcPr>
            <w:tcW w:w="872" w:type="dxa"/>
            <w:vAlign w:val="center"/>
          </w:tcPr>
          <w:p w:rsidR="004B1D60" w:rsidRDefault="00FF7025">
            <w:pPr>
              <w:jc w:val="right"/>
              <w:rPr>
                <w:szCs w:val="21"/>
              </w:rPr>
            </w:pPr>
            <w:r>
              <w:rPr>
                <w:rFonts w:hint="eastAsia"/>
                <w:szCs w:val="21"/>
              </w:rPr>
              <w:t>0.51%</w:t>
            </w:r>
          </w:p>
        </w:tc>
        <w:tc>
          <w:tcPr>
            <w:tcW w:w="1584" w:type="dxa"/>
            <w:vAlign w:val="center"/>
          </w:tcPr>
          <w:p w:rsidR="004B1D60" w:rsidRDefault="00FF7025">
            <w:pPr>
              <w:jc w:val="right"/>
              <w:rPr>
                <w:szCs w:val="21"/>
              </w:rPr>
            </w:pPr>
            <w:r>
              <w:rPr>
                <w:rFonts w:hint="eastAsia"/>
                <w:szCs w:val="21"/>
              </w:rPr>
              <w:t xml:space="preserve">89,489,280.00 </w:t>
            </w:r>
          </w:p>
        </w:tc>
        <w:tc>
          <w:tcPr>
            <w:tcW w:w="835" w:type="dxa"/>
            <w:vAlign w:val="center"/>
          </w:tcPr>
          <w:p w:rsidR="004B1D60" w:rsidRDefault="00FF7025">
            <w:pPr>
              <w:jc w:val="right"/>
              <w:rPr>
                <w:szCs w:val="21"/>
              </w:rPr>
            </w:pPr>
            <w:r>
              <w:rPr>
                <w:rFonts w:hint="eastAsia"/>
                <w:szCs w:val="21"/>
              </w:rPr>
              <w:t>0.57%</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是</w:t>
            </w:r>
          </w:p>
        </w:tc>
      </w:tr>
      <w:tr w:rsidR="004B1D60">
        <w:trPr>
          <w:jc w:val="center"/>
        </w:trPr>
        <w:tc>
          <w:tcPr>
            <w:tcW w:w="1466" w:type="dxa"/>
            <w:vAlign w:val="center"/>
          </w:tcPr>
          <w:p w:rsidR="004B1D60" w:rsidRDefault="00FF7025">
            <w:pPr>
              <w:jc w:val="center"/>
              <w:rPr>
                <w:szCs w:val="21"/>
              </w:rPr>
            </w:pPr>
            <w:r>
              <w:rPr>
                <w:rFonts w:hint="eastAsia"/>
                <w:szCs w:val="21"/>
              </w:rPr>
              <w:t>易方达瑞程灵活配置混合型证券投资基金</w:t>
            </w:r>
          </w:p>
        </w:tc>
        <w:tc>
          <w:tcPr>
            <w:tcW w:w="1154" w:type="dxa"/>
            <w:vAlign w:val="center"/>
          </w:tcPr>
          <w:p w:rsidR="004B1D60" w:rsidRDefault="00FF7025">
            <w:pPr>
              <w:jc w:val="right"/>
              <w:rPr>
                <w:szCs w:val="21"/>
              </w:rPr>
            </w:pPr>
            <w:r>
              <w:rPr>
                <w:rFonts w:hint="eastAsia"/>
                <w:szCs w:val="21"/>
              </w:rPr>
              <w:t>96,597</w:t>
            </w:r>
          </w:p>
        </w:tc>
        <w:tc>
          <w:tcPr>
            <w:tcW w:w="1537" w:type="dxa"/>
            <w:vAlign w:val="center"/>
          </w:tcPr>
          <w:p w:rsidR="004B1D60" w:rsidRDefault="00FF7025">
            <w:pPr>
              <w:jc w:val="right"/>
              <w:rPr>
                <w:szCs w:val="21"/>
              </w:rPr>
            </w:pPr>
            <w:r>
              <w:rPr>
                <w:rFonts w:hint="eastAsia"/>
                <w:szCs w:val="21"/>
              </w:rPr>
              <w:t>7,020,669.96</w:t>
            </w:r>
          </w:p>
        </w:tc>
        <w:tc>
          <w:tcPr>
            <w:tcW w:w="872" w:type="dxa"/>
            <w:vAlign w:val="center"/>
          </w:tcPr>
          <w:p w:rsidR="004B1D60" w:rsidRDefault="00FF7025">
            <w:pPr>
              <w:jc w:val="right"/>
              <w:rPr>
                <w:szCs w:val="21"/>
              </w:rPr>
            </w:pPr>
            <w:r>
              <w:rPr>
                <w:rFonts w:hint="eastAsia"/>
                <w:szCs w:val="21"/>
              </w:rPr>
              <w:t>1.48%</w:t>
            </w:r>
          </w:p>
        </w:tc>
        <w:tc>
          <w:tcPr>
            <w:tcW w:w="1584" w:type="dxa"/>
            <w:vAlign w:val="center"/>
          </w:tcPr>
          <w:p w:rsidR="004B1D60" w:rsidRDefault="00FF7025">
            <w:pPr>
              <w:jc w:val="right"/>
              <w:rPr>
                <w:szCs w:val="21"/>
              </w:rPr>
            </w:pPr>
            <w:r>
              <w:rPr>
                <w:rFonts w:hint="eastAsia"/>
                <w:szCs w:val="21"/>
              </w:rPr>
              <w:t xml:space="preserve">7,851,404.16 </w:t>
            </w:r>
          </w:p>
        </w:tc>
        <w:tc>
          <w:tcPr>
            <w:tcW w:w="835" w:type="dxa"/>
            <w:vAlign w:val="center"/>
          </w:tcPr>
          <w:p w:rsidR="004B1D60" w:rsidRDefault="00FF7025">
            <w:pPr>
              <w:jc w:val="right"/>
              <w:rPr>
                <w:szCs w:val="21"/>
              </w:rPr>
            </w:pPr>
            <w:r>
              <w:rPr>
                <w:rFonts w:hint="eastAsia"/>
                <w:szCs w:val="21"/>
              </w:rPr>
              <w:t>1.65%</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是</w:t>
            </w:r>
          </w:p>
        </w:tc>
      </w:tr>
      <w:tr w:rsidR="004B1D60">
        <w:trPr>
          <w:jc w:val="center"/>
        </w:trPr>
        <w:tc>
          <w:tcPr>
            <w:tcW w:w="1466" w:type="dxa"/>
            <w:vAlign w:val="center"/>
          </w:tcPr>
          <w:p w:rsidR="004B1D60" w:rsidRDefault="00FF7025">
            <w:pPr>
              <w:jc w:val="center"/>
              <w:rPr>
                <w:szCs w:val="21"/>
              </w:rPr>
            </w:pPr>
            <w:r>
              <w:rPr>
                <w:rFonts w:hint="eastAsia"/>
                <w:szCs w:val="21"/>
              </w:rPr>
              <w:t>易方达中证消费电子主题交易型开放式指数证</w:t>
            </w:r>
            <w:r>
              <w:rPr>
                <w:rFonts w:hint="eastAsia"/>
                <w:szCs w:val="21"/>
              </w:rPr>
              <w:lastRenderedPageBreak/>
              <w:t>券投资基金</w:t>
            </w:r>
          </w:p>
        </w:tc>
        <w:tc>
          <w:tcPr>
            <w:tcW w:w="1154" w:type="dxa"/>
            <w:vAlign w:val="center"/>
          </w:tcPr>
          <w:p w:rsidR="004B1D60" w:rsidRDefault="00FF7025">
            <w:pPr>
              <w:jc w:val="right"/>
              <w:rPr>
                <w:szCs w:val="21"/>
              </w:rPr>
            </w:pPr>
            <w:r>
              <w:rPr>
                <w:rFonts w:hint="eastAsia"/>
                <w:szCs w:val="21"/>
              </w:rPr>
              <w:lastRenderedPageBreak/>
              <w:t>10,505</w:t>
            </w:r>
          </w:p>
        </w:tc>
        <w:tc>
          <w:tcPr>
            <w:tcW w:w="1537" w:type="dxa"/>
            <w:vAlign w:val="center"/>
          </w:tcPr>
          <w:p w:rsidR="004B1D60" w:rsidRDefault="00FF7025">
            <w:pPr>
              <w:jc w:val="right"/>
              <w:rPr>
                <w:szCs w:val="21"/>
              </w:rPr>
            </w:pPr>
            <w:r>
              <w:rPr>
                <w:rFonts w:hint="eastAsia"/>
                <w:szCs w:val="21"/>
              </w:rPr>
              <w:t>763,503.40</w:t>
            </w:r>
          </w:p>
        </w:tc>
        <w:tc>
          <w:tcPr>
            <w:tcW w:w="872" w:type="dxa"/>
            <w:vAlign w:val="center"/>
          </w:tcPr>
          <w:p w:rsidR="004B1D60" w:rsidRDefault="00FF7025">
            <w:pPr>
              <w:jc w:val="right"/>
              <w:rPr>
                <w:szCs w:val="21"/>
              </w:rPr>
            </w:pPr>
            <w:r>
              <w:rPr>
                <w:rFonts w:hint="eastAsia"/>
                <w:szCs w:val="21"/>
              </w:rPr>
              <w:t>0.26%</w:t>
            </w:r>
          </w:p>
        </w:tc>
        <w:tc>
          <w:tcPr>
            <w:tcW w:w="1584" w:type="dxa"/>
            <w:vAlign w:val="center"/>
          </w:tcPr>
          <w:p w:rsidR="004B1D60" w:rsidRDefault="00FF7025">
            <w:pPr>
              <w:jc w:val="right"/>
              <w:rPr>
                <w:szCs w:val="21"/>
              </w:rPr>
            </w:pPr>
            <w:r>
              <w:rPr>
                <w:rFonts w:hint="eastAsia"/>
                <w:szCs w:val="21"/>
              </w:rPr>
              <w:t xml:space="preserve">853,846.40 </w:t>
            </w:r>
          </w:p>
        </w:tc>
        <w:tc>
          <w:tcPr>
            <w:tcW w:w="835" w:type="dxa"/>
            <w:vAlign w:val="center"/>
          </w:tcPr>
          <w:p w:rsidR="004B1D60" w:rsidRDefault="00FF7025">
            <w:pPr>
              <w:jc w:val="right"/>
              <w:rPr>
                <w:szCs w:val="21"/>
              </w:rPr>
            </w:pPr>
            <w:r>
              <w:rPr>
                <w:rFonts w:hint="eastAsia"/>
                <w:szCs w:val="21"/>
              </w:rPr>
              <w:t>0.29%</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是</w:t>
            </w:r>
          </w:p>
        </w:tc>
      </w:tr>
      <w:tr w:rsidR="004B1D60">
        <w:trPr>
          <w:jc w:val="center"/>
        </w:trPr>
        <w:tc>
          <w:tcPr>
            <w:tcW w:w="1466" w:type="dxa"/>
            <w:vAlign w:val="center"/>
          </w:tcPr>
          <w:p w:rsidR="004B1D60" w:rsidRDefault="00FF7025">
            <w:pPr>
              <w:jc w:val="center"/>
              <w:rPr>
                <w:szCs w:val="21"/>
              </w:rPr>
            </w:pPr>
            <w:r>
              <w:rPr>
                <w:rFonts w:hint="eastAsia"/>
                <w:szCs w:val="21"/>
              </w:rPr>
              <w:lastRenderedPageBreak/>
              <w:t>易方达上证科创板人工智能交易型开放式指数证券投资基金</w:t>
            </w:r>
          </w:p>
        </w:tc>
        <w:tc>
          <w:tcPr>
            <w:tcW w:w="1154" w:type="dxa"/>
            <w:vAlign w:val="center"/>
          </w:tcPr>
          <w:p w:rsidR="004B1D60" w:rsidRDefault="00FF7025">
            <w:pPr>
              <w:jc w:val="right"/>
              <w:rPr>
                <w:szCs w:val="21"/>
              </w:rPr>
            </w:pPr>
            <w:r>
              <w:rPr>
                <w:rFonts w:hint="eastAsia"/>
                <w:szCs w:val="21"/>
              </w:rPr>
              <w:t>184,247</w:t>
            </w:r>
          </w:p>
        </w:tc>
        <w:tc>
          <w:tcPr>
            <w:tcW w:w="1537" w:type="dxa"/>
            <w:vAlign w:val="center"/>
          </w:tcPr>
          <w:p w:rsidR="004B1D60" w:rsidRDefault="00FF7025">
            <w:pPr>
              <w:jc w:val="right"/>
              <w:rPr>
                <w:szCs w:val="21"/>
              </w:rPr>
            </w:pPr>
            <w:r>
              <w:rPr>
                <w:rFonts w:hint="eastAsia"/>
                <w:szCs w:val="21"/>
              </w:rPr>
              <w:t>13,391,071.96</w:t>
            </w:r>
          </w:p>
        </w:tc>
        <w:tc>
          <w:tcPr>
            <w:tcW w:w="872" w:type="dxa"/>
            <w:vAlign w:val="center"/>
          </w:tcPr>
          <w:p w:rsidR="004B1D60" w:rsidRDefault="00FF7025">
            <w:pPr>
              <w:jc w:val="right"/>
              <w:rPr>
                <w:szCs w:val="21"/>
              </w:rPr>
            </w:pPr>
            <w:r>
              <w:rPr>
                <w:rFonts w:hint="eastAsia"/>
                <w:szCs w:val="21"/>
              </w:rPr>
              <w:t>1.78%</w:t>
            </w:r>
          </w:p>
        </w:tc>
        <w:tc>
          <w:tcPr>
            <w:tcW w:w="1584" w:type="dxa"/>
            <w:vAlign w:val="center"/>
          </w:tcPr>
          <w:p w:rsidR="004B1D60" w:rsidRDefault="00FF7025">
            <w:pPr>
              <w:jc w:val="right"/>
              <w:rPr>
                <w:szCs w:val="21"/>
              </w:rPr>
            </w:pPr>
            <w:r>
              <w:rPr>
                <w:rFonts w:hint="eastAsia"/>
                <w:szCs w:val="21"/>
              </w:rPr>
              <w:t xml:space="preserve">14,975,596.16 </w:t>
            </w:r>
          </w:p>
        </w:tc>
        <w:tc>
          <w:tcPr>
            <w:tcW w:w="835" w:type="dxa"/>
            <w:vAlign w:val="center"/>
          </w:tcPr>
          <w:p w:rsidR="004B1D60" w:rsidRDefault="00FF7025">
            <w:pPr>
              <w:jc w:val="right"/>
              <w:rPr>
                <w:szCs w:val="21"/>
              </w:rPr>
            </w:pPr>
            <w:r>
              <w:rPr>
                <w:rFonts w:hint="eastAsia"/>
                <w:szCs w:val="21"/>
              </w:rPr>
              <w:t>1.99%</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是</w:t>
            </w:r>
          </w:p>
        </w:tc>
      </w:tr>
      <w:tr w:rsidR="004B1D60">
        <w:trPr>
          <w:jc w:val="center"/>
        </w:trPr>
        <w:tc>
          <w:tcPr>
            <w:tcW w:w="1466" w:type="dxa"/>
            <w:vAlign w:val="center"/>
          </w:tcPr>
          <w:p w:rsidR="004B1D60" w:rsidRDefault="00FF7025">
            <w:pPr>
              <w:jc w:val="center"/>
              <w:rPr>
                <w:szCs w:val="21"/>
              </w:rPr>
            </w:pPr>
            <w:r>
              <w:rPr>
                <w:rFonts w:hint="eastAsia"/>
                <w:szCs w:val="21"/>
              </w:rPr>
              <w:t>易方达创新驱动灵活配置混合型证券投资基金</w:t>
            </w:r>
          </w:p>
        </w:tc>
        <w:tc>
          <w:tcPr>
            <w:tcW w:w="1154" w:type="dxa"/>
            <w:vAlign w:val="center"/>
          </w:tcPr>
          <w:p w:rsidR="004B1D60" w:rsidRDefault="00FF7025">
            <w:pPr>
              <w:jc w:val="right"/>
              <w:rPr>
                <w:szCs w:val="21"/>
              </w:rPr>
            </w:pPr>
            <w:r>
              <w:rPr>
                <w:rFonts w:hint="eastAsia"/>
                <w:szCs w:val="21"/>
              </w:rPr>
              <w:t>316,740</w:t>
            </w:r>
          </w:p>
        </w:tc>
        <w:tc>
          <w:tcPr>
            <w:tcW w:w="1537" w:type="dxa"/>
            <w:vAlign w:val="center"/>
          </w:tcPr>
          <w:p w:rsidR="004B1D60" w:rsidRDefault="00FF7025">
            <w:pPr>
              <w:jc w:val="right"/>
              <w:rPr>
                <w:szCs w:val="21"/>
              </w:rPr>
            </w:pPr>
            <w:r>
              <w:rPr>
                <w:rFonts w:hint="eastAsia"/>
                <w:szCs w:val="21"/>
              </w:rPr>
              <w:t>23,020,663.20</w:t>
            </w:r>
          </w:p>
        </w:tc>
        <w:tc>
          <w:tcPr>
            <w:tcW w:w="872" w:type="dxa"/>
            <w:vAlign w:val="center"/>
          </w:tcPr>
          <w:p w:rsidR="004B1D60" w:rsidRDefault="00FF7025">
            <w:pPr>
              <w:jc w:val="right"/>
              <w:rPr>
                <w:szCs w:val="21"/>
              </w:rPr>
            </w:pPr>
            <w:r>
              <w:rPr>
                <w:rFonts w:hint="eastAsia"/>
                <w:szCs w:val="21"/>
              </w:rPr>
              <w:t>1.29%</w:t>
            </w:r>
          </w:p>
        </w:tc>
        <w:tc>
          <w:tcPr>
            <w:tcW w:w="1584" w:type="dxa"/>
            <w:vAlign w:val="center"/>
          </w:tcPr>
          <w:p w:rsidR="004B1D60" w:rsidRDefault="00FF7025">
            <w:pPr>
              <w:jc w:val="right"/>
              <w:rPr>
                <w:szCs w:val="21"/>
              </w:rPr>
            </w:pPr>
            <w:r>
              <w:rPr>
                <w:rFonts w:hint="eastAsia"/>
                <w:szCs w:val="21"/>
              </w:rPr>
              <w:t xml:space="preserve">25,744,627.20 </w:t>
            </w:r>
          </w:p>
        </w:tc>
        <w:tc>
          <w:tcPr>
            <w:tcW w:w="835" w:type="dxa"/>
            <w:vAlign w:val="center"/>
          </w:tcPr>
          <w:p w:rsidR="004B1D60" w:rsidRDefault="00FF7025">
            <w:pPr>
              <w:jc w:val="right"/>
              <w:rPr>
                <w:szCs w:val="21"/>
              </w:rPr>
            </w:pPr>
            <w:r>
              <w:rPr>
                <w:rFonts w:hint="eastAsia"/>
                <w:szCs w:val="21"/>
              </w:rPr>
              <w:t>1.44%</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易方达新收益灵活配置混合型证券投资基金</w:t>
            </w:r>
          </w:p>
        </w:tc>
        <w:tc>
          <w:tcPr>
            <w:tcW w:w="1154" w:type="dxa"/>
            <w:vAlign w:val="center"/>
          </w:tcPr>
          <w:p w:rsidR="004B1D60" w:rsidRDefault="00FF7025">
            <w:pPr>
              <w:jc w:val="right"/>
              <w:rPr>
                <w:szCs w:val="21"/>
              </w:rPr>
            </w:pPr>
            <w:r>
              <w:rPr>
                <w:rFonts w:hint="eastAsia"/>
                <w:szCs w:val="21"/>
              </w:rPr>
              <w:t>880,857</w:t>
            </w:r>
          </w:p>
        </w:tc>
        <w:tc>
          <w:tcPr>
            <w:tcW w:w="1537" w:type="dxa"/>
            <w:vAlign w:val="center"/>
          </w:tcPr>
          <w:p w:rsidR="004B1D60" w:rsidRDefault="00FF7025">
            <w:pPr>
              <w:jc w:val="right"/>
              <w:rPr>
                <w:szCs w:val="21"/>
              </w:rPr>
            </w:pPr>
            <w:r>
              <w:rPr>
                <w:rFonts w:hint="eastAsia"/>
                <w:szCs w:val="21"/>
              </w:rPr>
              <w:t>64,020,686.76</w:t>
            </w:r>
          </w:p>
        </w:tc>
        <w:tc>
          <w:tcPr>
            <w:tcW w:w="872" w:type="dxa"/>
            <w:vAlign w:val="center"/>
          </w:tcPr>
          <w:p w:rsidR="004B1D60" w:rsidRDefault="00FF7025">
            <w:pPr>
              <w:jc w:val="right"/>
              <w:rPr>
                <w:szCs w:val="21"/>
              </w:rPr>
            </w:pPr>
            <w:r>
              <w:rPr>
                <w:rFonts w:hint="eastAsia"/>
                <w:szCs w:val="21"/>
              </w:rPr>
              <w:t>2.05%</w:t>
            </w:r>
          </w:p>
        </w:tc>
        <w:tc>
          <w:tcPr>
            <w:tcW w:w="1584" w:type="dxa"/>
            <w:vAlign w:val="center"/>
          </w:tcPr>
          <w:p w:rsidR="004B1D60" w:rsidRDefault="00FF7025">
            <w:pPr>
              <w:jc w:val="right"/>
              <w:rPr>
                <w:szCs w:val="21"/>
              </w:rPr>
            </w:pPr>
            <w:r>
              <w:rPr>
                <w:rFonts w:hint="eastAsia"/>
                <w:szCs w:val="21"/>
              </w:rPr>
              <w:t xml:space="preserve">71,596,056.96 </w:t>
            </w:r>
          </w:p>
        </w:tc>
        <w:tc>
          <w:tcPr>
            <w:tcW w:w="835" w:type="dxa"/>
            <w:vAlign w:val="center"/>
          </w:tcPr>
          <w:p w:rsidR="004B1D60" w:rsidRDefault="00FF7025">
            <w:pPr>
              <w:jc w:val="right"/>
              <w:rPr>
                <w:szCs w:val="21"/>
              </w:rPr>
            </w:pPr>
            <w:r>
              <w:rPr>
                <w:rFonts w:hint="eastAsia"/>
                <w:szCs w:val="21"/>
              </w:rPr>
              <w:t>2.30%</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易方达安盈回报混合型证券投资基金</w:t>
            </w:r>
          </w:p>
        </w:tc>
        <w:tc>
          <w:tcPr>
            <w:tcW w:w="1154" w:type="dxa"/>
            <w:vAlign w:val="center"/>
          </w:tcPr>
          <w:p w:rsidR="004B1D60" w:rsidRDefault="00FF7025">
            <w:pPr>
              <w:jc w:val="right"/>
              <w:rPr>
                <w:szCs w:val="21"/>
              </w:rPr>
            </w:pPr>
            <w:r>
              <w:rPr>
                <w:rFonts w:hint="eastAsia"/>
                <w:szCs w:val="21"/>
              </w:rPr>
              <w:t>179,151</w:t>
            </w:r>
          </w:p>
        </w:tc>
        <w:tc>
          <w:tcPr>
            <w:tcW w:w="1537" w:type="dxa"/>
            <w:vAlign w:val="center"/>
          </w:tcPr>
          <w:p w:rsidR="004B1D60" w:rsidRDefault="00FF7025">
            <w:pPr>
              <w:jc w:val="right"/>
              <w:rPr>
                <w:szCs w:val="21"/>
              </w:rPr>
            </w:pPr>
            <w:r>
              <w:rPr>
                <w:rFonts w:hint="eastAsia"/>
                <w:szCs w:val="21"/>
              </w:rPr>
              <w:t>13,020,694.68</w:t>
            </w:r>
          </w:p>
        </w:tc>
        <w:tc>
          <w:tcPr>
            <w:tcW w:w="872" w:type="dxa"/>
            <w:vAlign w:val="center"/>
          </w:tcPr>
          <w:p w:rsidR="004B1D60" w:rsidRDefault="00FF7025">
            <w:pPr>
              <w:jc w:val="right"/>
              <w:rPr>
                <w:szCs w:val="21"/>
              </w:rPr>
            </w:pPr>
            <w:r>
              <w:rPr>
                <w:rFonts w:hint="eastAsia"/>
                <w:szCs w:val="21"/>
              </w:rPr>
              <w:t>0.95%</w:t>
            </w:r>
          </w:p>
        </w:tc>
        <w:tc>
          <w:tcPr>
            <w:tcW w:w="1584" w:type="dxa"/>
            <w:vAlign w:val="center"/>
          </w:tcPr>
          <w:p w:rsidR="004B1D60" w:rsidRDefault="00FF7025">
            <w:pPr>
              <w:jc w:val="right"/>
              <w:rPr>
                <w:szCs w:val="21"/>
              </w:rPr>
            </w:pPr>
            <w:r>
              <w:rPr>
                <w:rFonts w:hint="eastAsia"/>
                <w:szCs w:val="21"/>
              </w:rPr>
              <w:t xml:space="preserve">14,561,393.28 </w:t>
            </w:r>
          </w:p>
        </w:tc>
        <w:tc>
          <w:tcPr>
            <w:tcW w:w="835" w:type="dxa"/>
            <w:vAlign w:val="center"/>
          </w:tcPr>
          <w:p w:rsidR="004B1D60" w:rsidRDefault="00FF7025">
            <w:pPr>
              <w:jc w:val="right"/>
              <w:rPr>
                <w:szCs w:val="21"/>
              </w:rPr>
            </w:pPr>
            <w:r>
              <w:rPr>
                <w:rFonts w:hint="eastAsia"/>
                <w:szCs w:val="21"/>
              </w:rPr>
              <w:t>1.07%</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易方达丰和债券型证券投资基金</w:t>
            </w:r>
          </w:p>
        </w:tc>
        <w:tc>
          <w:tcPr>
            <w:tcW w:w="1154" w:type="dxa"/>
            <w:vAlign w:val="center"/>
          </w:tcPr>
          <w:p w:rsidR="004B1D60" w:rsidRDefault="00FF7025">
            <w:pPr>
              <w:jc w:val="right"/>
              <w:rPr>
                <w:szCs w:val="21"/>
              </w:rPr>
            </w:pPr>
            <w:r>
              <w:rPr>
                <w:rFonts w:hint="eastAsia"/>
                <w:szCs w:val="21"/>
              </w:rPr>
              <w:t>261,705</w:t>
            </w:r>
          </w:p>
        </w:tc>
        <w:tc>
          <w:tcPr>
            <w:tcW w:w="1537" w:type="dxa"/>
            <w:vAlign w:val="center"/>
          </w:tcPr>
          <w:p w:rsidR="004B1D60" w:rsidRDefault="00FF7025">
            <w:pPr>
              <w:jc w:val="right"/>
              <w:rPr>
                <w:szCs w:val="21"/>
              </w:rPr>
            </w:pPr>
            <w:r>
              <w:rPr>
                <w:rFonts w:hint="eastAsia"/>
                <w:szCs w:val="21"/>
              </w:rPr>
              <w:t>19,020,719.40</w:t>
            </w:r>
          </w:p>
        </w:tc>
        <w:tc>
          <w:tcPr>
            <w:tcW w:w="872" w:type="dxa"/>
            <w:vAlign w:val="center"/>
          </w:tcPr>
          <w:p w:rsidR="004B1D60" w:rsidRDefault="00FF7025">
            <w:pPr>
              <w:jc w:val="right"/>
              <w:rPr>
                <w:szCs w:val="21"/>
              </w:rPr>
            </w:pPr>
            <w:r>
              <w:rPr>
                <w:rFonts w:hint="eastAsia"/>
                <w:szCs w:val="21"/>
              </w:rPr>
              <w:t>0.49%</w:t>
            </w:r>
          </w:p>
        </w:tc>
        <w:tc>
          <w:tcPr>
            <w:tcW w:w="1584" w:type="dxa"/>
            <w:vAlign w:val="center"/>
          </w:tcPr>
          <w:p w:rsidR="004B1D60" w:rsidRDefault="00FF7025">
            <w:pPr>
              <w:jc w:val="right"/>
              <w:rPr>
                <w:szCs w:val="21"/>
              </w:rPr>
            </w:pPr>
            <w:r>
              <w:rPr>
                <w:rFonts w:hint="eastAsia"/>
                <w:szCs w:val="21"/>
              </w:rPr>
              <w:t xml:space="preserve">21,271,382.40 </w:t>
            </w:r>
          </w:p>
        </w:tc>
        <w:tc>
          <w:tcPr>
            <w:tcW w:w="835" w:type="dxa"/>
            <w:vAlign w:val="center"/>
          </w:tcPr>
          <w:p w:rsidR="004B1D60" w:rsidRDefault="00FF7025">
            <w:pPr>
              <w:jc w:val="right"/>
              <w:rPr>
                <w:szCs w:val="21"/>
              </w:rPr>
            </w:pPr>
            <w:r>
              <w:rPr>
                <w:rFonts w:hint="eastAsia"/>
                <w:szCs w:val="21"/>
              </w:rPr>
              <w:t>0.54%</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易方达中盘成长混合型证券投资基金</w:t>
            </w:r>
          </w:p>
        </w:tc>
        <w:tc>
          <w:tcPr>
            <w:tcW w:w="1154" w:type="dxa"/>
            <w:vAlign w:val="center"/>
          </w:tcPr>
          <w:p w:rsidR="004B1D60" w:rsidRDefault="00FF7025">
            <w:pPr>
              <w:jc w:val="right"/>
              <w:rPr>
                <w:szCs w:val="21"/>
              </w:rPr>
            </w:pPr>
            <w:r>
              <w:rPr>
                <w:rFonts w:hint="eastAsia"/>
                <w:szCs w:val="21"/>
              </w:rPr>
              <w:t>206,669</w:t>
            </w:r>
          </w:p>
        </w:tc>
        <w:tc>
          <w:tcPr>
            <w:tcW w:w="1537" w:type="dxa"/>
            <w:vAlign w:val="center"/>
          </w:tcPr>
          <w:p w:rsidR="004B1D60" w:rsidRDefault="00FF7025">
            <w:pPr>
              <w:jc w:val="right"/>
              <w:rPr>
                <w:szCs w:val="21"/>
              </w:rPr>
            </w:pPr>
            <w:r>
              <w:rPr>
                <w:rFonts w:hint="eastAsia"/>
                <w:szCs w:val="21"/>
              </w:rPr>
              <w:t>15,020,702.92</w:t>
            </w:r>
          </w:p>
        </w:tc>
        <w:tc>
          <w:tcPr>
            <w:tcW w:w="872" w:type="dxa"/>
            <w:vAlign w:val="center"/>
          </w:tcPr>
          <w:p w:rsidR="004B1D60" w:rsidRDefault="00FF7025">
            <w:pPr>
              <w:jc w:val="right"/>
              <w:rPr>
                <w:szCs w:val="21"/>
              </w:rPr>
            </w:pPr>
            <w:r>
              <w:rPr>
                <w:rFonts w:hint="eastAsia"/>
                <w:szCs w:val="21"/>
              </w:rPr>
              <w:t>0.46%</w:t>
            </w:r>
          </w:p>
        </w:tc>
        <w:tc>
          <w:tcPr>
            <w:tcW w:w="1584" w:type="dxa"/>
            <w:vAlign w:val="center"/>
          </w:tcPr>
          <w:p w:rsidR="004B1D60" w:rsidRDefault="00FF7025">
            <w:pPr>
              <w:jc w:val="right"/>
              <w:rPr>
                <w:szCs w:val="21"/>
              </w:rPr>
            </w:pPr>
            <w:r>
              <w:rPr>
                <w:rFonts w:hint="eastAsia"/>
                <w:szCs w:val="21"/>
              </w:rPr>
              <w:t xml:space="preserve">16,798,056.32 </w:t>
            </w:r>
          </w:p>
        </w:tc>
        <w:tc>
          <w:tcPr>
            <w:tcW w:w="835" w:type="dxa"/>
            <w:vAlign w:val="center"/>
          </w:tcPr>
          <w:p w:rsidR="004B1D60" w:rsidRDefault="00FF7025">
            <w:pPr>
              <w:jc w:val="right"/>
              <w:rPr>
                <w:szCs w:val="21"/>
              </w:rPr>
            </w:pPr>
            <w:r>
              <w:rPr>
                <w:rFonts w:hint="eastAsia"/>
                <w:szCs w:val="21"/>
              </w:rPr>
              <w:t>0.51%</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易方达悦兴一年持有期混合型证券投资基金</w:t>
            </w:r>
          </w:p>
        </w:tc>
        <w:tc>
          <w:tcPr>
            <w:tcW w:w="1154" w:type="dxa"/>
            <w:vAlign w:val="center"/>
          </w:tcPr>
          <w:p w:rsidR="004B1D60" w:rsidRDefault="00FF7025">
            <w:pPr>
              <w:jc w:val="right"/>
              <w:rPr>
                <w:szCs w:val="21"/>
              </w:rPr>
            </w:pPr>
            <w:r>
              <w:rPr>
                <w:rFonts w:hint="eastAsia"/>
                <w:szCs w:val="21"/>
              </w:rPr>
              <w:t>399,294</w:t>
            </w:r>
          </w:p>
        </w:tc>
        <w:tc>
          <w:tcPr>
            <w:tcW w:w="1537" w:type="dxa"/>
            <w:vAlign w:val="center"/>
          </w:tcPr>
          <w:p w:rsidR="004B1D60" w:rsidRDefault="00FF7025">
            <w:pPr>
              <w:jc w:val="right"/>
              <w:rPr>
                <w:szCs w:val="21"/>
              </w:rPr>
            </w:pPr>
            <w:r>
              <w:rPr>
                <w:rFonts w:hint="eastAsia"/>
                <w:szCs w:val="21"/>
              </w:rPr>
              <w:t>29,020,687.92</w:t>
            </w:r>
          </w:p>
        </w:tc>
        <w:tc>
          <w:tcPr>
            <w:tcW w:w="872" w:type="dxa"/>
            <w:vAlign w:val="center"/>
          </w:tcPr>
          <w:p w:rsidR="004B1D60" w:rsidRDefault="00FF7025">
            <w:pPr>
              <w:jc w:val="right"/>
              <w:rPr>
                <w:szCs w:val="21"/>
              </w:rPr>
            </w:pPr>
            <w:r>
              <w:rPr>
                <w:rFonts w:hint="eastAsia"/>
                <w:szCs w:val="21"/>
              </w:rPr>
              <w:t>1.00%</w:t>
            </w:r>
          </w:p>
        </w:tc>
        <w:tc>
          <w:tcPr>
            <w:tcW w:w="1584" w:type="dxa"/>
            <w:vAlign w:val="center"/>
          </w:tcPr>
          <w:p w:rsidR="004B1D60" w:rsidRDefault="00FF7025">
            <w:pPr>
              <w:jc w:val="right"/>
              <w:rPr>
                <w:szCs w:val="21"/>
              </w:rPr>
            </w:pPr>
            <w:r>
              <w:rPr>
                <w:rFonts w:hint="eastAsia"/>
                <w:szCs w:val="21"/>
              </w:rPr>
              <w:t xml:space="preserve">32,454,616.32 </w:t>
            </w:r>
          </w:p>
        </w:tc>
        <w:tc>
          <w:tcPr>
            <w:tcW w:w="835" w:type="dxa"/>
            <w:vAlign w:val="center"/>
          </w:tcPr>
          <w:p w:rsidR="004B1D60" w:rsidRDefault="00FF7025">
            <w:pPr>
              <w:jc w:val="right"/>
              <w:rPr>
                <w:szCs w:val="21"/>
              </w:rPr>
            </w:pPr>
            <w:r>
              <w:rPr>
                <w:rFonts w:hint="eastAsia"/>
                <w:szCs w:val="21"/>
              </w:rPr>
              <w:t>1.12%</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易方达战略新兴产业股票型证券投资基金</w:t>
            </w:r>
          </w:p>
        </w:tc>
        <w:tc>
          <w:tcPr>
            <w:tcW w:w="1154" w:type="dxa"/>
            <w:vAlign w:val="center"/>
          </w:tcPr>
          <w:p w:rsidR="004B1D60" w:rsidRDefault="00FF7025">
            <w:pPr>
              <w:jc w:val="right"/>
              <w:rPr>
                <w:szCs w:val="21"/>
              </w:rPr>
            </w:pPr>
            <w:r>
              <w:rPr>
                <w:rFonts w:hint="eastAsia"/>
                <w:szCs w:val="21"/>
              </w:rPr>
              <w:t>413,053</w:t>
            </w:r>
          </w:p>
        </w:tc>
        <w:tc>
          <w:tcPr>
            <w:tcW w:w="1537" w:type="dxa"/>
            <w:vAlign w:val="center"/>
          </w:tcPr>
          <w:p w:rsidR="004B1D60" w:rsidRDefault="00FF7025">
            <w:pPr>
              <w:jc w:val="right"/>
              <w:rPr>
                <w:szCs w:val="21"/>
              </w:rPr>
            </w:pPr>
            <w:r>
              <w:rPr>
                <w:rFonts w:hint="eastAsia"/>
                <w:szCs w:val="21"/>
              </w:rPr>
              <w:t>30,020,692.04</w:t>
            </w:r>
          </w:p>
        </w:tc>
        <w:tc>
          <w:tcPr>
            <w:tcW w:w="872" w:type="dxa"/>
            <w:vAlign w:val="center"/>
          </w:tcPr>
          <w:p w:rsidR="004B1D60" w:rsidRDefault="00FF7025">
            <w:pPr>
              <w:jc w:val="right"/>
              <w:rPr>
                <w:szCs w:val="21"/>
              </w:rPr>
            </w:pPr>
            <w:r>
              <w:rPr>
                <w:rFonts w:hint="eastAsia"/>
                <w:szCs w:val="21"/>
              </w:rPr>
              <w:t>0.70%</w:t>
            </w:r>
          </w:p>
        </w:tc>
        <w:tc>
          <w:tcPr>
            <w:tcW w:w="1584" w:type="dxa"/>
            <w:vAlign w:val="center"/>
          </w:tcPr>
          <w:p w:rsidR="004B1D60" w:rsidRDefault="00FF7025">
            <w:pPr>
              <w:jc w:val="right"/>
              <w:rPr>
                <w:szCs w:val="21"/>
              </w:rPr>
            </w:pPr>
            <w:r>
              <w:rPr>
                <w:rFonts w:hint="eastAsia"/>
                <w:szCs w:val="21"/>
              </w:rPr>
              <w:t xml:space="preserve">33,572,947.84 </w:t>
            </w:r>
          </w:p>
        </w:tc>
        <w:tc>
          <w:tcPr>
            <w:tcW w:w="835" w:type="dxa"/>
            <w:vAlign w:val="center"/>
          </w:tcPr>
          <w:p w:rsidR="004B1D60" w:rsidRDefault="00FF7025">
            <w:pPr>
              <w:jc w:val="right"/>
              <w:rPr>
                <w:szCs w:val="21"/>
              </w:rPr>
            </w:pPr>
            <w:r>
              <w:rPr>
                <w:rFonts w:hint="eastAsia"/>
                <w:szCs w:val="21"/>
              </w:rPr>
              <w:t>0.78%</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易方达上证科创板芯片指数发起式证券投资基金</w:t>
            </w:r>
          </w:p>
        </w:tc>
        <w:tc>
          <w:tcPr>
            <w:tcW w:w="1154" w:type="dxa"/>
            <w:vAlign w:val="center"/>
          </w:tcPr>
          <w:p w:rsidR="004B1D60" w:rsidRDefault="00FF7025">
            <w:pPr>
              <w:jc w:val="right"/>
              <w:rPr>
                <w:szCs w:val="21"/>
              </w:rPr>
            </w:pPr>
            <w:r>
              <w:rPr>
                <w:rFonts w:hint="eastAsia"/>
                <w:szCs w:val="21"/>
              </w:rPr>
              <w:t>51,385</w:t>
            </w:r>
          </w:p>
        </w:tc>
        <w:tc>
          <w:tcPr>
            <w:tcW w:w="1537" w:type="dxa"/>
            <w:vAlign w:val="center"/>
          </w:tcPr>
          <w:p w:rsidR="004B1D60" w:rsidRDefault="00FF7025">
            <w:pPr>
              <w:jc w:val="right"/>
              <w:rPr>
                <w:szCs w:val="21"/>
              </w:rPr>
            </w:pPr>
            <w:r>
              <w:rPr>
                <w:rFonts w:hint="eastAsia"/>
                <w:szCs w:val="21"/>
              </w:rPr>
              <w:t>3,734,661.80</w:t>
            </w:r>
          </w:p>
        </w:tc>
        <w:tc>
          <w:tcPr>
            <w:tcW w:w="872" w:type="dxa"/>
            <w:vAlign w:val="center"/>
          </w:tcPr>
          <w:p w:rsidR="004B1D60" w:rsidRDefault="00FF7025">
            <w:pPr>
              <w:jc w:val="right"/>
              <w:rPr>
                <w:szCs w:val="21"/>
              </w:rPr>
            </w:pPr>
            <w:r>
              <w:rPr>
                <w:rFonts w:hint="eastAsia"/>
                <w:szCs w:val="21"/>
              </w:rPr>
              <w:t>0.49%</w:t>
            </w:r>
          </w:p>
        </w:tc>
        <w:tc>
          <w:tcPr>
            <w:tcW w:w="1584" w:type="dxa"/>
            <w:vAlign w:val="center"/>
          </w:tcPr>
          <w:p w:rsidR="004B1D60" w:rsidRDefault="00FF7025">
            <w:pPr>
              <w:jc w:val="right"/>
              <w:rPr>
                <w:szCs w:val="21"/>
              </w:rPr>
            </w:pPr>
            <w:r>
              <w:rPr>
                <w:rFonts w:hint="eastAsia"/>
                <w:szCs w:val="21"/>
              </w:rPr>
              <w:t xml:space="preserve">4,176,572.80 </w:t>
            </w:r>
          </w:p>
        </w:tc>
        <w:tc>
          <w:tcPr>
            <w:tcW w:w="835" w:type="dxa"/>
            <w:vAlign w:val="center"/>
          </w:tcPr>
          <w:p w:rsidR="004B1D60" w:rsidRDefault="00FF7025">
            <w:pPr>
              <w:jc w:val="right"/>
              <w:rPr>
                <w:szCs w:val="21"/>
              </w:rPr>
            </w:pPr>
            <w:r>
              <w:rPr>
                <w:rFonts w:hint="eastAsia"/>
                <w:szCs w:val="21"/>
              </w:rPr>
              <w:t>0.55%</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易方达积极成长证券投资基金</w:t>
            </w:r>
          </w:p>
        </w:tc>
        <w:tc>
          <w:tcPr>
            <w:tcW w:w="1154" w:type="dxa"/>
            <w:vAlign w:val="center"/>
          </w:tcPr>
          <w:p w:rsidR="004B1D60" w:rsidRDefault="00FF7025">
            <w:pPr>
              <w:jc w:val="right"/>
              <w:rPr>
                <w:szCs w:val="21"/>
              </w:rPr>
            </w:pPr>
            <w:r>
              <w:rPr>
                <w:rFonts w:hint="eastAsia"/>
                <w:szCs w:val="21"/>
              </w:rPr>
              <w:t>674,473</w:t>
            </w:r>
          </w:p>
        </w:tc>
        <w:tc>
          <w:tcPr>
            <w:tcW w:w="1537" w:type="dxa"/>
            <w:vAlign w:val="center"/>
          </w:tcPr>
          <w:p w:rsidR="004B1D60" w:rsidRDefault="00FF7025">
            <w:pPr>
              <w:jc w:val="right"/>
              <w:rPr>
                <w:szCs w:val="21"/>
              </w:rPr>
            </w:pPr>
            <w:r>
              <w:rPr>
                <w:rFonts w:hint="eastAsia"/>
                <w:szCs w:val="21"/>
              </w:rPr>
              <w:t>49,020,697.64</w:t>
            </w:r>
          </w:p>
        </w:tc>
        <w:tc>
          <w:tcPr>
            <w:tcW w:w="872" w:type="dxa"/>
            <w:vAlign w:val="center"/>
          </w:tcPr>
          <w:p w:rsidR="004B1D60" w:rsidRDefault="00FF7025">
            <w:pPr>
              <w:jc w:val="right"/>
              <w:rPr>
                <w:szCs w:val="21"/>
              </w:rPr>
            </w:pPr>
            <w:r>
              <w:rPr>
                <w:rFonts w:hint="eastAsia"/>
                <w:szCs w:val="21"/>
              </w:rPr>
              <w:t>2.01%</w:t>
            </w:r>
          </w:p>
        </w:tc>
        <w:tc>
          <w:tcPr>
            <w:tcW w:w="1584" w:type="dxa"/>
            <w:vAlign w:val="center"/>
          </w:tcPr>
          <w:p w:rsidR="004B1D60" w:rsidRDefault="00FF7025">
            <w:pPr>
              <w:jc w:val="right"/>
              <w:rPr>
                <w:szCs w:val="21"/>
              </w:rPr>
            </w:pPr>
            <w:r>
              <w:rPr>
                <w:rFonts w:hint="eastAsia"/>
                <w:szCs w:val="21"/>
              </w:rPr>
              <w:t xml:space="preserve">54,821,165.44 </w:t>
            </w:r>
          </w:p>
        </w:tc>
        <w:tc>
          <w:tcPr>
            <w:tcW w:w="835" w:type="dxa"/>
            <w:vAlign w:val="center"/>
          </w:tcPr>
          <w:p w:rsidR="004B1D60" w:rsidRDefault="00FF7025">
            <w:pPr>
              <w:jc w:val="right"/>
              <w:rPr>
                <w:szCs w:val="21"/>
              </w:rPr>
            </w:pPr>
            <w:r>
              <w:rPr>
                <w:rFonts w:hint="eastAsia"/>
                <w:szCs w:val="21"/>
              </w:rPr>
              <w:t>2.25%</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易方达安心回报债券型</w:t>
            </w:r>
            <w:r>
              <w:rPr>
                <w:rFonts w:hint="eastAsia"/>
                <w:szCs w:val="21"/>
              </w:rPr>
              <w:lastRenderedPageBreak/>
              <w:t>证券投资基金</w:t>
            </w:r>
          </w:p>
        </w:tc>
        <w:tc>
          <w:tcPr>
            <w:tcW w:w="1154" w:type="dxa"/>
            <w:vAlign w:val="center"/>
          </w:tcPr>
          <w:p w:rsidR="004B1D60" w:rsidRDefault="00FF7025">
            <w:pPr>
              <w:jc w:val="right"/>
              <w:rPr>
                <w:szCs w:val="21"/>
              </w:rPr>
            </w:pPr>
            <w:r>
              <w:rPr>
                <w:rFonts w:hint="eastAsia"/>
                <w:szCs w:val="21"/>
              </w:rPr>
              <w:lastRenderedPageBreak/>
              <w:t>660,714</w:t>
            </w:r>
          </w:p>
        </w:tc>
        <w:tc>
          <w:tcPr>
            <w:tcW w:w="1537" w:type="dxa"/>
            <w:vAlign w:val="center"/>
          </w:tcPr>
          <w:p w:rsidR="004B1D60" w:rsidRDefault="00FF7025">
            <w:pPr>
              <w:jc w:val="right"/>
              <w:rPr>
                <w:szCs w:val="21"/>
              </w:rPr>
            </w:pPr>
            <w:r>
              <w:rPr>
                <w:rFonts w:hint="eastAsia"/>
                <w:szCs w:val="21"/>
              </w:rPr>
              <w:t>48,020,693.52</w:t>
            </w:r>
          </w:p>
        </w:tc>
        <w:tc>
          <w:tcPr>
            <w:tcW w:w="872" w:type="dxa"/>
            <w:vAlign w:val="center"/>
          </w:tcPr>
          <w:p w:rsidR="004B1D60" w:rsidRDefault="00FF7025">
            <w:pPr>
              <w:jc w:val="right"/>
              <w:rPr>
                <w:szCs w:val="21"/>
              </w:rPr>
            </w:pPr>
            <w:r>
              <w:rPr>
                <w:rFonts w:hint="eastAsia"/>
                <w:szCs w:val="21"/>
              </w:rPr>
              <w:t>0.49%</w:t>
            </w:r>
          </w:p>
        </w:tc>
        <w:tc>
          <w:tcPr>
            <w:tcW w:w="1584" w:type="dxa"/>
            <w:vAlign w:val="center"/>
          </w:tcPr>
          <w:p w:rsidR="004B1D60" w:rsidRDefault="00FF7025">
            <w:pPr>
              <w:jc w:val="right"/>
              <w:rPr>
                <w:szCs w:val="21"/>
              </w:rPr>
            </w:pPr>
            <w:r>
              <w:rPr>
                <w:rFonts w:hint="eastAsia"/>
                <w:szCs w:val="21"/>
              </w:rPr>
              <w:t xml:space="preserve">53,702,833.92 </w:t>
            </w:r>
          </w:p>
        </w:tc>
        <w:tc>
          <w:tcPr>
            <w:tcW w:w="835" w:type="dxa"/>
            <w:vAlign w:val="center"/>
          </w:tcPr>
          <w:p w:rsidR="004B1D60" w:rsidRDefault="00FF7025">
            <w:pPr>
              <w:jc w:val="right"/>
              <w:rPr>
                <w:szCs w:val="21"/>
              </w:rPr>
            </w:pPr>
            <w:r>
              <w:rPr>
                <w:rFonts w:hint="eastAsia"/>
                <w:szCs w:val="21"/>
              </w:rPr>
              <w:t>0.55%</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lastRenderedPageBreak/>
              <w:t>易方达中证人工智能主题交易型开放式指数证券投资基金</w:t>
            </w:r>
          </w:p>
        </w:tc>
        <w:tc>
          <w:tcPr>
            <w:tcW w:w="1154" w:type="dxa"/>
            <w:vAlign w:val="center"/>
          </w:tcPr>
          <w:p w:rsidR="004B1D60" w:rsidRDefault="00FF7025">
            <w:pPr>
              <w:jc w:val="right"/>
              <w:rPr>
                <w:szCs w:val="21"/>
              </w:rPr>
            </w:pPr>
            <w:r>
              <w:rPr>
                <w:rFonts w:hint="eastAsia"/>
                <w:szCs w:val="21"/>
              </w:rPr>
              <w:t>817,896</w:t>
            </w:r>
          </w:p>
        </w:tc>
        <w:tc>
          <w:tcPr>
            <w:tcW w:w="1537" w:type="dxa"/>
            <w:vAlign w:val="center"/>
          </w:tcPr>
          <w:p w:rsidR="004B1D60" w:rsidRDefault="00FF7025">
            <w:pPr>
              <w:jc w:val="right"/>
              <w:rPr>
                <w:szCs w:val="21"/>
              </w:rPr>
            </w:pPr>
            <w:r>
              <w:rPr>
                <w:rFonts w:hint="eastAsia"/>
                <w:szCs w:val="21"/>
              </w:rPr>
              <w:t>59,444,681.28</w:t>
            </w:r>
          </w:p>
        </w:tc>
        <w:tc>
          <w:tcPr>
            <w:tcW w:w="872" w:type="dxa"/>
            <w:vAlign w:val="center"/>
          </w:tcPr>
          <w:p w:rsidR="004B1D60" w:rsidRDefault="00FF7025">
            <w:pPr>
              <w:jc w:val="right"/>
              <w:rPr>
                <w:szCs w:val="21"/>
              </w:rPr>
            </w:pPr>
            <w:r>
              <w:rPr>
                <w:rFonts w:hint="eastAsia"/>
                <w:szCs w:val="21"/>
              </w:rPr>
              <w:t>0.36%</w:t>
            </w:r>
          </w:p>
        </w:tc>
        <w:tc>
          <w:tcPr>
            <w:tcW w:w="1584" w:type="dxa"/>
            <w:vAlign w:val="center"/>
          </w:tcPr>
          <w:p w:rsidR="004B1D60" w:rsidRDefault="00FF7025">
            <w:pPr>
              <w:jc w:val="right"/>
              <w:rPr>
                <w:szCs w:val="21"/>
              </w:rPr>
            </w:pPr>
            <w:r>
              <w:rPr>
                <w:rFonts w:hint="eastAsia"/>
                <w:szCs w:val="21"/>
              </w:rPr>
              <w:t xml:space="preserve">66,478,586.88 </w:t>
            </w:r>
          </w:p>
        </w:tc>
        <w:tc>
          <w:tcPr>
            <w:tcW w:w="835" w:type="dxa"/>
            <w:vAlign w:val="center"/>
          </w:tcPr>
          <w:p w:rsidR="004B1D60" w:rsidRDefault="00FF7025">
            <w:pPr>
              <w:jc w:val="right"/>
              <w:rPr>
                <w:szCs w:val="21"/>
              </w:rPr>
            </w:pPr>
            <w:r>
              <w:rPr>
                <w:rFonts w:hint="eastAsia"/>
                <w:szCs w:val="21"/>
              </w:rPr>
              <w:t>0.40%</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易方达中证</w:t>
            </w:r>
            <w:r>
              <w:rPr>
                <w:rFonts w:hint="eastAsia"/>
                <w:szCs w:val="21"/>
              </w:rPr>
              <w:t>500</w:t>
            </w:r>
            <w:r>
              <w:rPr>
                <w:rFonts w:hint="eastAsia"/>
                <w:szCs w:val="21"/>
              </w:rPr>
              <w:t>交易型开放式指数证券投资基金</w:t>
            </w:r>
          </w:p>
        </w:tc>
        <w:tc>
          <w:tcPr>
            <w:tcW w:w="1154" w:type="dxa"/>
            <w:vAlign w:val="center"/>
          </w:tcPr>
          <w:p w:rsidR="004B1D60" w:rsidRDefault="00FF7025">
            <w:pPr>
              <w:jc w:val="right"/>
              <w:rPr>
                <w:szCs w:val="21"/>
              </w:rPr>
            </w:pPr>
            <w:r>
              <w:rPr>
                <w:rFonts w:hint="eastAsia"/>
                <w:szCs w:val="21"/>
              </w:rPr>
              <w:t>42,187</w:t>
            </w:r>
          </w:p>
        </w:tc>
        <w:tc>
          <w:tcPr>
            <w:tcW w:w="1537" w:type="dxa"/>
            <w:vAlign w:val="center"/>
          </w:tcPr>
          <w:p w:rsidR="004B1D60" w:rsidRDefault="00FF7025">
            <w:pPr>
              <w:jc w:val="right"/>
              <w:rPr>
                <w:szCs w:val="21"/>
              </w:rPr>
            </w:pPr>
            <w:r>
              <w:rPr>
                <w:rFonts w:hint="eastAsia"/>
                <w:szCs w:val="21"/>
              </w:rPr>
              <w:t>3,066,151.16</w:t>
            </w:r>
          </w:p>
        </w:tc>
        <w:tc>
          <w:tcPr>
            <w:tcW w:w="872" w:type="dxa"/>
            <w:vAlign w:val="center"/>
          </w:tcPr>
          <w:p w:rsidR="004B1D60" w:rsidRDefault="00FF7025">
            <w:pPr>
              <w:jc w:val="right"/>
              <w:rPr>
                <w:szCs w:val="21"/>
              </w:rPr>
            </w:pPr>
            <w:r>
              <w:rPr>
                <w:rFonts w:hint="eastAsia"/>
                <w:szCs w:val="21"/>
              </w:rPr>
              <w:t>0.11%</w:t>
            </w:r>
          </w:p>
        </w:tc>
        <w:tc>
          <w:tcPr>
            <w:tcW w:w="1584" w:type="dxa"/>
            <w:vAlign w:val="center"/>
          </w:tcPr>
          <w:p w:rsidR="004B1D60" w:rsidRDefault="00FF7025">
            <w:pPr>
              <w:jc w:val="right"/>
              <w:rPr>
                <w:szCs w:val="21"/>
              </w:rPr>
            </w:pPr>
            <w:r>
              <w:rPr>
                <w:rFonts w:hint="eastAsia"/>
                <w:szCs w:val="21"/>
              </w:rPr>
              <w:t xml:space="preserve">3,428,959.36 </w:t>
            </w:r>
          </w:p>
        </w:tc>
        <w:tc>
          <w:tcPr>
            <w:tcW w:w="835" w:type="dxa"/>
            <w:vAlign w:val="center"/>
          </w:tcPr>
          <w:p w:rsidR="004B1D60" w:rsidRDefault="00FF7025">
            <w:pPr>
              <w:jc w:val="right"/>
              <w:rPr>
                <w:szCs w:val="21"/>
              </w:rPr>
            </w:pPr>
            <w:r>
              <w:rPr>
                <w:rFonts w:hint="eastAsia"/>
                <w:szCs w:val="21"/>
              </w:rPr>
              <w:t>0.12%</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易方达中证芯片产业交易型开放式指数证券投资基金</w:t>
            </w:r>
          </w:p>
        </w:tc>
        <w:tc>
          <w:tcPr>
            <w:tcW w:w="1154" w:type="dxa"/>
            <w:vAlign w:val="center"/>
          </w:tcPr>
          <w:p w:rsidR="004B1D60" w:rsidRDefault="00FF7025">
            <w:pPr>
              <w:jc w:val="right"/>
              <w:rPr>
                <w:szCs w:val="21"/>
              </w:rPr>
            </w:pPr>
            <w:r>
              <w:rPr>
                <w:rFonts w:hint="eastAsia"/>
                <w:szCs w:val="21"/>
              </w:rPr>
              <w:t>51,385</w:t>
            </w:r>
          </w:p>
        </w:tc>
        <w:tc>
          <w:tcPr>
            <w:tcW w:w="1537" w:type="dxa"/>
            <w:vAlign w:val="center"/>
          </w:tcPr>
          <w:p w:rsidR="004B1D60" w:rsidRDefault="00FF7025">
            <w:pPr>
              <w:jc w:val="right"/>
              <w:rPr>
                <w:szCs w:val="21"/>
              </w:rPr>
            </w:pPr>
            <w:r>
              <w:rPr>
                <w:rFonts w:hint="eastAsia"/>
                <w:szCs w:val="21"/>
              </w:rPr>
              <w:t>3,734,661.80</w:t>
            </w:r>
          </w:p>
        </w:tc>
        <w:tc>
          <w:tcPr>
            <w:tcW w:w="872" w:type="dxa"/>
            <w:vAlign w:val="center"/>
          </w:tcPr>
          <w:p w:rsidR="004B1D60" w:rsidRDefault="00FF7025">
            <w:pPr>
              <w:jc w:val="right"/>
              <w:rPr>
                <w:szCs w:val="21"/>
              </w:rPr>
            </w:pPr>
            <w:r>
              <w:rPr>
                <w:rFonts w:hint="eastAsia"/>
                <w:szCs w:val="21"/>
              </w:rPr>
              <w:t>0.37%</w:t>
            </w:r>
          </w:p>
        </w:tc>
        <w:tc>
          <w:tcPr>
            <w:tcW w:w="1584" w:type="dxa"/>
            <w:vAlign w:val="center"/>
          </w:tcPr>
          <w:p w:rsidR="004B1D60" w:rsidRDefault="00FF7025">
            <w:pPr>
              <w:jc w:val="right"/>
              <w:rPr>
                <w:szCs w:val="21"/>
              </w:rPr>
            </w:pPr>
            <w:r>
              <w:rPr>
                <w:rFonts w:hint="eastAsia"/>
                <w:szCs w:val="21"/>
              </w:rPr>
              <w:t xml:space="preserve">4,176,572.80 </w:t>
            </w:r>
          </w:p>
        </w:tc>
        <w:tc>
          <w:tcPr>
            <w:tcW w:w="835" w:type="dxa"/>
            <w:vAlign w:val="center"/>
          </w:tcPr>
          <w:p w:rsidR="004B1D60" w:rsidRDefault="00FF7025">
            <w:pPr>
              <w:jc w:val="right"/>
              <w:rPr>
                <w:szCs w:val="21"/>
              </w:rPr>
            </w:pPr>
            <w:r>
              <w:rPr>
                <w:rFonts w:hint="eastAsia"/>
                <w:szCs w:val="21"/>
              </w:rPr>
              <w:t>0.41%</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易方达上证科创板</w:t>
            </w:r>
            <w:r>
              <w:rPr>
                <w:rFonts w:hint="eastAsia"/>
                <w:szCs w:val="21"/>
              </w:rPr>
              <w:t>50</w:t>
            </w:r>
            <w:r>
              <w:rPr>
                <w:rFonts w:hint="eastAsia"/>
                <w:szCs w:val="21"/>
              </w:rPr>
              <w:t>成份交易型开放式指数证券投资基金</w:t>
            </w:r>
          </w:p>
        </w:tc>
        <w:tc>
          <w:tcPr>
            <w:tcW w:w="1154" w:type="dxa"/>
            <w:vAlign w:val="center"/>
          </w:tcPr>
          <w:p w:rsidR="004B1D60" w:rsidRDefault="00FF7025">
            <w:pPr>
              <w:jc w:val="right"/>
              <w:rPr>
                <w:szCs w:val="21"/>
              </w:rPr>
            </w:pPr>
            <w:r>
              <w:rPr>
                <w:rFonts w:hint="eastAsia"/>
                <w:szCs w:val="21"/>
              </w:rPr>
              <w:t>3,066,340</w:t>
            </w:r>
          </w:p>
        </w:tc>
        <w:tc>
          <w:tcPr>
            <w:tcW w:w="1537" w:type="dxa"/>
            <w:vAlign w:val="center"/>
          </w:tcPr>
          <w:p w:rsidR="004B1D60" w:rsidRDefault="00FF7025">
            <w:pPr>
              <w:jc w:val="right"/>
              <w:rPr>
                <w:szCs w:val="21"/>
              </w:rPr>
            </w:pPr>
            <w:r>
              <w:rPr>
                <w:rFonts w:hint="eastAsia"/>
                <w:szCs w:val="21"/>
              </w:rPr>
              <w:t>222,861,591.20</w:t>
            </w:r>
          </w:p>
        </w:tc>
        <w:tc>
          <w:tcPr>
            <w:tcW w:w="872" w:type="dxa"/>
            <w:vAlign w:val="center"/>
          </w:tcPr>
          <w:p w:rsidR="004B1D60" w:rsidRDefault="00FF7025">
            <w:pPr>
              <w:jc w:val="right"/>
              <w:rPr>
                <w:szCs w:val="21"/>
              </w:rPr>
            </w:pPr>
            <w:r>
              <w:rPr>
                <w:rFonts w:hint="eastAsia"/>
                <w:szCs w:val="21"/>
              </w:rPr>
              <w:t>0.36%</w:t>
            </w:r>
          </w:p>
        </w:tc>
        <w:tc>
          <w:tcPr>
            <w:tcW w:w="1584" w:type="dxa"/>
            <w:vAlign w:val="center"/>
          </w:tcPr>
          <w:p w:rsidR="004B1D60" w:rsidRDefault="00FF7025">
            <w:pPr>
              <w:jc w:val="right"/>
              <w:rPr>
                <w:szCs w:val="21"/>
              </w:rPr>
            </w:pPr>
            <w:r>
              <w:rPr>
                <w:rFonts w:hint="eastAsia"/>
                <w:szCs w:val="21"/>
              </w:rPr>
              <w:t xml:space="preserve">249,232,115.20 </w:t>
            </w:r>
          </w:p>
        </w:tc>
        <w:tc>
          <w:tcPr>
            <w:tcW w:w="835" w:type="dxa"/>
            <w:vAlign w:val="center"/>
          </w:tcPr>
          <w:p w:rsidR="004B1D60" w:rsidRDefault="00FF7025">
            <w:pPr>
              <w:jc w:val="right"/>
              <w:rPr>
                <w:szCs w:val="21"/>
              </w:rPr>
            </w:pPr>
            <w:r>
              <w:rPr>
                <w:rFonts w:hint="eastAsia"/>
                <w:szCs w:val="21"/>
              </w:rPr>
              <w:t>0.40%</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r w:rsidR="004B1D60">
        <w:trPr>
          <w:jc w:val="center"/>
        </w:trPr>
        <w:tc>
          <w:tcPr>
            <w:tcW w:w="1466" w:type="dxa"/>
            <w:vAlign w:val="center"/>
          </w:tcPr>
          <w:p w:rsidR="004B1D60" w:rsidRDefault="00FF7025">
            <w:pPr>
              <w:jc w:val="center"/>
              <w:rPr>
                <w:szCs w:val="21"/>
              </w:rPr>
            </w:pPr>
            <w:r>
              <w:rPr>
                <w:rFonts w:hint="eastAsia"/>
                <w:szCs w:val="21"/>
              </w:rPr>
              <w:t>易方达上证科创板综合交易型开放式指数证券投资基金</w:t>
            </w:r>
          </w:p>
        </w:tc>
        <w:tc>
          <w:tcPr>
            <w:tcW w:w="1154" w:type="dxa"/>
            <w:vAlign w:val="center"/>
          </w:tcPr>
          <w:p w:rsidR="004B1D60" w:rsidRDefault="00FF7025">
            <w:pPr>
              <w:jc w:val="right"/>
              <w:rPr>
                <w:szCs w:val="21"/>
              </w:rPr>
            </w:pPr>
            <w:r>
              <w:rPr>
                <w:rFonts w:hint="eastAsia"/>
                <w:szCs w:val="21"/>
              </w:rPr>
              <w:t>51,385</w:t>
            </w:r>
          </w:p>
        </w:tc>
        <w:tc>
          <w:tcPr>
            <w:tcW w:w="1537" w:type="dxa"/>
            <w:vAlign w:val="center"/>
          </w:tcPr>
          <w:p w:rsidR="004B1D60" w:rsidRDefault="00FF7025">
            <w:pPr>
              <w:jc w:val="right"/>
              <w:rPr>
                <w:szCs w:val="21"/>
              </w:rPr>
            </w:pPr>
            <w:r>
              <w:rPr>
                <w:rFonts w:hint="eastAsia"/>
                <w:szCs w:val="21"/>
              </w:rPr>
              <w:t>3,734,661.80</w:t>
            </w:r>
          </w:p>
        </w:tc>
        <w:tc>
          <w:tcPr>
            <w:tcW w:w="872" w:type="dxa"/>
            <w:vAlign w:val="center"/>
          </w:tcPr>
          <w:p w:rsidR="004B1D60" w:rsidRDefault="00FF7025">
            <w:pPr>
              <w:jc w:val="right"/>
              <w:rPr>
                <w:szCs w:val="21"/>
              </w:rPr>
            </w:pPr>
            <w:r>
              <w:rPr>
                <w:rFonts w:hint="eastAsia"/>
                <w:szCs w:val="21"/>
              </w:rPr>
              <w:t>0.15%</w:t>
            </w:r>
          </w:p>
        </w:tc>
        <w:tc>
          <w:tcPr>
            <w:tcW w:w="1584" w:type="dxa"/>
            <w:vAlign w:val="center"/>
          </w:tcPr>
          <w:p w:rsidR="004B1D60" w:rsidRDefault="00FF7025">
            <w:pPr>
              <w:jc w:val="right"/>
              <w:rPr>
                <w:szCs w:val="21"/>
              </w:rPr>
            </w:pPr>
            <w:r>
              <w:rPr>
                <w:rFonts w:hint="eastAsia"/>
                <w:szCs w:val="21"/>
              </w:rPr>
              <w:t xml:space="preserve">4,176,572.80 </w:t>
            </w:r>
          </w:p>
        </w:tc>
        <w:tc>
          <w:tcPr>
            <w:tcW w:w="835" w:type="dxa"/>
            <w:vAlign w:val="center"/>
          </w:tcPr>
          <w:p w:rsidR="004B1D60" w:rsidRDefault="00FF7025">
            <w:pPr>
              <w:jc w:val="right"/>
              <w:rPr>
                <w:szCs w:val="21"/>
              </w:rPr>
            </w:pPr>
            <w:r>
              <w:rPr>
                <w:rFonts w:hint="eastAsia"/>
                <w:szCs w:val="21"/>
              </w:rPr>
              <w:t>0.17%</w:t>
            </w:r>
          </w:p>
        </w:tc>
        <w:tc>
          <w:tcPr>
            <w:tcW w:w="806" w:type="dxa"/>
            <w:vAlign w:val="center"/>
          </w:tcPr>
          <w:p w:rsidR="004B1D60" w:rsidRDefault="00FF7025">
            <w:pPr>
              <w:jc w:val="center"/>
              <w:rPr>
                <w:szCs w:val="21"/>
              </w:rPr>
            </w:pPr>
            <w:r>
              <w:rPr>
                <w:rFonts w:hint="eastAsia"/>
                <w:szCs w:val="21"/>
              </w:rPr>
              <w:t>6</w:t>
            </w:r>
            <w:r>
              <w:rPr>
                <w:rFonts w:hint="eastAsia"/>
                <w:szCs w:val="21"/>
              </w:rPr>
              <w:t>个月</w:t>
            </w:r>
          </w:p>
        </w:tc>
        <w:tc>
          <w:tcPr>
            <w:tcW w:w="705" w:type="dxa"/>
            <w:vAlign w:val="center"/>
          </w:tcPr>
          <w:p w:rsidR="004B1D60" w:rsidRDefault="00FF7025">
            <w:pPr>
              <w:jc w:val="center"/>
              <w:rPr>
                <w:szCs w:val="21"/>
              </w:rPr>
            </w:pPr>
            <w:r>
              <w:rPr>
                <w:rFonts w:hint="eastAsia"/>
                <w:szCs w:val="21"/>
              </w:rPr>
              <w:t>否</w:t>
            </w:r>
          </w:p>
        </w:tc>
      </w:tr>
    </w:tbl>
    <w:p w:rsidR="004B1D60" w:rsidRDefault="004B1D60">
      <w:pPr>
        <w:spacing w:line="360" w:lineRule="auto"/>
        <w:rPr>
          <w:kern w:val="0"/>
          <w:sz w:val="24"/>
        </w:rPr>
      </w:pPr>
    </w:p>
    <w:p w:rsidR="004B1D60" w:rsidRDefault="00FF7025">
      <w:pPr>
        <w:spacing w:line="360" w:lineRule="auto"/>
        <w:rPr>
          <w:kern w:val="0"/>
          <w:sz w:val="24"/>
        </w:rPr>
      </w:pPr>
      <w:r>
        <w:rPr>
          <w:kern w:val="0"/>
          <w:sz w:val="24"/>
        </w:rPr>
        <w:t>注：基金资产净值、账面价</w:t>
      </w:r>
      <w:r>
        <w:rPr>
          <w:kern w:val="0"/>
          <w:sz w:val="24"/>
        </w:rPr>
        <w:t>值为</w:t>
      </w:r>
      <w:r>
        <w:rPr>
          <w:rFonts w:hint="eastAsia"/>
          <w:kern w:val="0"/>
          <w:sz w:val="24"/>
        </w:rPr>
        <w:t>2025</w:t>
      </w:r>
      <w:r>
        <w:rPr>
          <w:kern w:val="0"/>
          <w:sz w:val="24"/>
        </w:rPr>
        <w:t>年</w:t>
      </w:r>
      <w:r>
        <w:rPr>
          <w:rFonts w:hint="eastAsia"/>
          <w:kern w:val="0"/>
          <w:sz w:val="24"/>
        </w:rPr>
        <w:t>6</w:t>
      </w:r>
      <w:r>
        <w:rPr>
          <w:kern w:val="0"/>
          <w:sz w:val="24"/>
        </w:rPr>
        <w:t>月</w:t>
      </w:r>
      <w:r>
        <w:rPr>
          <w:rFonts w:hint="eastAsia"/>
          <w:kern w:val="0"/>
          <w:sz w:val="24"/>
        </w:rPr>
        <w:t>27</w:t>
      </w:r>
      <w:r>
        <w:rPr>
          <w:kern w:val="0"/>
          <w:sz w:val="24"/>
        </w:rPr>
        <w:t>日数</w:t>
      </w:r>
      <w:r>
        <w:rPr>
          <w:kern w:val="0"/>
          <w:sz w:val="24"/>
        </w:rPr>
        <w:t>据。</w:t>
      </w:r>
    </w:p>
    <w:p w:rsidR="004B1D60" w:rsidRDefault="00FF7025">
      <w:pPr>
        <w:spacing w:line="360" w:lineRule="auto"/>
        <w:ind w:firstLineChars="200" w:firstLine="480"/>
        <w:rPr>
          <w:kern w:val="0"/>
          <w:sz w:val="24"/>
        </w:rPr>
      </w:pPr>
      <w:r>
        <w:rPr>
          <w:kern w:val="0"/>
          <w:sz w:val="24"/>
        </w:rPr>
        <w:t>特此公告。</w:t>
      </w:r>
    </w:p>
    <w:p w:rsidR="004B1D60" w:rsidRDefault="00FF7025">
      <w:pPr>
        <w:spacing w:line="360" w:lineRule="auto"/>
        <w:jc w:val="right"/>
        <w:rPr>
          <w:kern w:val="0"/>
          <w:sz w:val="24"/>
        </w:rPr>
      </w:pPr>
      <w:r>
        <w:rPr>
          <w:kern w:val="0"/>
          <w:sz w:val="24"/>
        </w:rPr>
        <w:t>易方达基金管理有限公司</w:t>
      </w:r>
    </w:p>
    <w:p w:rsidR="004B1D60" w:rsidRDefault="00FF7025">
      <w:pPr>
        <w:spacing w:line="360" w:lineRule="auto"/>
        <w:jc w:val="right"/>
      </w:pPr>
      <w:r>
        <w:rPr>
          <w:rFonts w:hint="eastAsia"/>
          <w:kern w:val="0"/>
          <w:sz w:val="24"/>
        </w:rPr>
        <w:t>2025</w:t>
      </w:r>
      <w:r>
        <w:rPr>
          <w:kern w:val="0"/>
          <w:sz w:val="24"/>
        </w:rPr>
        <w:t>年</w:t>
      </w:r>
      <w:r>
        <w:rPr>
          <w:rFonts w:hint="eastAsia"/>
          <w:kern w:val="0"/>
          <w:sz w:val="24"/>
        </w:rPr>
        <w:t>6</w:t>
      </w:r>
      <w:r>
        <w:rPr>
          <w:kern w:val="0"/>
          <w:sz w:val="24"/>
        </w:rPr>
        <w:t>月</w:t>
      </w:r>
      <w:r>
        <w:rPr>
          <w:rFonts w:hint="eastAsia"/>
          <w:kern w:val="0"/>
          <w:sz w:val="24"/>
        </w:rPr>
        <w:t>28</w:t>
      </w:r>
      <w:r>
        <w:rPr>
          <w:kern w:val="0"/>
          <w:sz w:val="24"/>
        </w:rPr>
        <w:t>日</w:t>
      </w:r>
    </w:p>
    <w:p w:rsidR="004B1D60" w:rsidRDefault="004B1D60"/>
    <w:sectPr w:rsidR="004B1D60" w:rsidSect="004B1D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bordersDoNotSurroundHeader/>
  <w:bordersDoNotSurroundFooter/>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A10E2"/>
    <w:rsid w:val="AF0F68CE"/>
    <w:rsid w:val="B1BCCDBA"/>
    <w:rsid w:val="B7706EBA"/>
    <w:rsid w:val="CFF9D9CB"/>
    <w:rsid w:val="DD667CE4"/>
    <w:rsid w:val="DEF7E3EA"/>
    <w:rsid w:val="DF9F56EF"/>
    <w:rsid w:val="EBBA0AA9"/>
    <w:rsid w:val="F9FF05D2"/>
    <w:rsid w:val="FBAD8B2A"/>
    <w:rsid w:val="FBFFA81F"/>
    <w:rsid w:val="FDD75584"/>
    <w:rsid w:val="FFEFA406"/>
    <w:rsid w:val="FFF7DB45"/>
    <w:rsid w:val="FFFE5DEE"/>
    <w:rsid w:val="000068AC"/>
    <w:rsid w:val="00056A9D"/>
    <w:rsid w:val="00067C88"/>
    <w:rsid w:val="0007578E"/>
    <w:rsid w:val="00084730"/>
    <w:rsid w:val="00091454"/>
    <w:rsid w:val="00091C26"/>
    <w:rsid w:val="000D409F"/>
    <w:rsid w:val="000F452C"/>
    <w:rsid w:val="000F4885"/>
    <w:rsid w:val="001104F8"/>
    <w:rsid w:val="00182DBA"/>
    <w:rsid w:val="00185879"/>
    <w:rsid w:val="00196752"/>
    <w:rsid w:val="001B1DBB"/>
    <w:rsid w:val="001C374B"/>
    <w:rsid w:val="001C412F"/>
    <w:rsid w:val="001E1CD2"/>
    <w:rsid w:val="00225369"/>
    <w:rsid w:val="00277148"/>
    <w:rsid w:val="00294F51"/>
    <w:rsid w:val="00296B13"/>
    <w:rsid w:val="00301B9A"/>
    <w:rsid w:val="00303C8C"/>
    <w:rsid w:val="0033061C"/>
    <w:rsid w:val="00340B3A"/>
    <w:rsid w:val="003535FC"/>
    <w:rsid w:val="00377AFD"/>
    <w:rsid w:val="00387016"/>
    <w:rsid w:val="003B10DF"/>
    <w:rsid w:val="003B1232"/>
    <w:rsid w:val="003C1E98"/>
    <w:rsid w:val="003E178A"/>
    <w:rsid w:val="003F4B29"/>
    <w:rsid w:val="00426619"/>
    <w:rsid w:val="00437EFE"/>
    <w:rsid w:val="004536F8"/>
    <w:rsid w:val="00457BBE"/>
    <w:rsid w:val="0046432B"/>
    <w:rsid w:val="00465A81"/>
    <w:rsid w:val="00472218"/>
    <w:rsid w:val="0047707C"/>
    <w:rsid w:val="004864EF"/>
    <w:rsid w:val="00491539"/>
    <w:rsid w:val="004A37D9"/>
    <w:rsid w:val="004A6FD4"/>
    <w:rsid w:val="004A748B"/>
    <w:rsid w:val="004B1D60"/>
    <w:rsid w:val="004E00DA"/>
    <w:rsid w:val="005104D0"/>
    <w:rsid w:val="00514C2A"/>
    <w:rsid w:val="005173AF"/>
    <w:rsid w:val="0054079D"/>
    <w:rsid w:val="005410D0"/>
    <w:rsid w:val="00545916"/>
    <w:rsid w:val="0054726D"/>
    <w:rsid w:val="00557020"/>
    <w:rsid w:val="0056424C"/>
    <w:rsid w:val="00565313"/>
    <w:rsid w:val="00575028"/>
    <w:rsid w:val="00594EC0"/>
    <w:rsid w:val="00597646"/>
    <w:rsid w:val="005B7759"/>
    <w:rsid w:val="005D6EFF"/>
    <w:rsid w:val="005F5B86"/>
    <w:rsid w:val="006162D1"/>
    <w:rsid w:val="0066427C"/>
    <w:rsid w:val="0067264D"/>
    <w:rsid w:val="006742D8"/>
    <w:rsid w:val="006904DC"/>
    <w:rsid w:val="006905CB"/>
    <w:rsid w:val="00694AB9"/>
    <w:rsid w:val="006A6F40"/>
    <w:rsid w:val="006B20BE"/>
    <w:rsid w:val="006B73C3"/>
    <w:rsid w:val="006E31C5"/>
    <w:rsid w:val="006E3C8F"/>
    <w:rsid w:val="00701BA4"/>
    <w:rsid w:val="00713551"/>
    <w:rsid w:val="00740340"/>
    <w:rsid w:val="00767737"/>
    <w:rsid w:val="007A0408"/>
    <w:rsid w:val="007C2F1F"/>
    <w:rsid w:val="008068CA"/>
    <w:rsid w:val="00824F39"/>
    <w:rsid w:val="008700B0"/>
    <w:rsid w:val="00875A99"/>
    <w:rsid w:val="00881EB9"/>
    <w:rsid w:val="0088426E"/>
    <w:rsid w:val="008905B4"/>
    <w:rsid w:val="008E3175"/>
    <w:rsid w:val="00943EEF"/>
    <w:rsid w:val="00945A25"/>
    <w:rsid w:val="00953744"/>
    <w:rsid w:val="009713FF"/>
    <w:rsid w:val="009744BE"/>
    <w:rsid w:val="00990035"/>
    <w:rsid w:val="009A0A35"/>
    <w:rsid w:val="009A4875"/>
    <w:rsid w:val="009B4906"/>
    <w:rsid w:val="009C0D0E"/>
    <w:rsid w:val="009F70AA"/>
    <w:rsid w:val="009F7B3D"/>
    <w:rsid w:val="00A023DA"/>
    <w:rsid w:val="00A76FCB"/>
    <w:rsid w:val="00A9101C"/>
    <w:rsid w:val="00AD2F78"/>
    <w:rsid w:val="00AE5C3D"/>
    <w:rsid w:val="00B06905"/>
    <w:rsid w:val="00B27AC1"/>
    <w:rsid w:val="00B37206"/>
    <w:rsid w:val="00B57F57"/>
    <w:rsid w:val="00B64A1E"/>
    <w:rsid w:val="00B67FB7"/>
    <w:rsid w:val="00BA15AC"/>
    <w:rsid w:val="00BA3220"/>
    <w:rsid w:val="00BA3E0A"/>
    <w:rsid w:val="00BB54B0"/>
    <w:rsid w:val="00BC5A9F"/>
    <w:rsid w:val="00BC5B73"/>
    <w:rsid w:val="00BD22BB"/>
    <w:rsid w:val="00BD58A6"/>
    <w:rsid w:val="00BD7CE6"/>
    <w:rsid w:val="00BE0613"/>
    <w:rsid w:val="00BE6C39"/>
    <w:rsid w:val="00BE7D30"/>
    <w:rsid w:val="00BF7639"/>
    <w:rsid w:val="00C010A4"/>
    <w:rsid w:val="00C16B5A"/>
    <w:rsid w:val="00C16E41"/>
    <w:rsid w:val="00C16E87"/>
    <w:rsid w:val="00C342E5"/>
    <w:rsid w:val="00C51485"/>
    <w:rsid w:val="00C53F2C"/>
    <w:rsid w:val="00C73256"/>
    <w:rsid w:val="00C74CAB"/>
    <w:rsid w:val="00C76D21"/>
    <w:rsid w:val="00CA7C64"/>
    <w:rsid w:val="00CE1B6F"/>
    <w:rsid w:val="00D66832"/>
    <w:rsid w:val="00D753C1"/>
    <w:rsid w:val="00D82CEE"/>
    <w:rsid w:val="00D86EEB"/>
    <w:rsid w:val="00D87EB7"/>
    <w:rsid w:val="00D9314C"/>
    <w:rsid w:val="00DA0710"/>
    <w:rsid w:val="00DB4A42"/>
    <w:rsid w:val="00DD04AC"/>
    <w:rsid w:val="00DE18A7"/>
    <w:rsid w:val="00E04841"/>
    <w:rsid w:val="00E0716B"/>
    <w:rsid w:val="00E11A5D"/>
    <w:rsid w:val="00E2716D"/>
    <w:rsid w:val="00E37F29"/>
    <w:rsid w:val="00E41585"/>
    <w:rsid w:val="00E46D9A"/>
    <w:rsid w:val="00E62CE3"/>
    <w:rsid w:val="00E72B6A"/>
    <w:rsid w:val="00E80951"/>
    <w:rsid w:val="00E94FC4"/>
    <w:rsid w:val="00EA10E2"/>
    <w:rsid w:val="00EB2D11"/>
    <w:rsid w:val="00EB5883"/>
    <w:rsid w:val="00EC223E"/>
    <w:rsid w:val="00EE4CF2"/>
    <w:rsid w:val="00EF34D7"/>
    <w:rsid w:val="00F11F77"/>
    <w:rsid w:val="00F20762"/>
    <w:rsid w:val="00F22B55"/>
    <w:rsid w:val="00F54A05"/>
    <w:rsid w:val="00F72C67"/>
    <w:rsid w:val="00FA2042"/>
    <w:rsid w:val="00FC2449"/>
    <w:rsid w:val="00FC7DF3"/>
    <w:rsid w:val="00FF2B45"/>
    <w:rsid w:val="00FF37E9"/>
    <w:rsid w:val="00FF402D"/>
    <w:rsid w:val="00FF7025"/>
    <w:rsid w:val="0F7EFFAA"/>
    <w:rsid w:val="37B576AD"/>
    <w:rsid w:val="3F3F4AAE"/>
    <w:rsid w:val="3F74BEE3"/>
    <w:rsid w:val="3F7B39BA"/>
    <w:rsid w:val="5D3D19A8"/>
    <w:rsid w:val="637684B5"/>
    <w:rsid w:val="63ECDD24"/>
    <w:rsid w:val="6F2FC5DF"/>
    <w:rsid w:val="6FDBFBE7"/>
    <w:rsid w:val="7C7F1205"/>
    <w:rsid w:val="7D956DBA"/>
    <w:rsid w:val="7E7E57A0"/>
    <w:rsid w:val="7F562E9F"/>
    <w:rsid w:val="7F7ECBE3"/>
    <w:rsid w:val="7FB90126"/>
    <w:rsid w:val="7FD6AE55"/>
    <w:rsid w:val="7FFBEB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Typewriter"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D60"/>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rsid w:val="004B1D60"/>
    <w:pPr>
      <w:jc w:val="left"/>
    </w:pPr>
  </w:style>
  <w:style w:type="paragraph" w:styleId="a4">
    <w:name w:val="Date"/>
    <w:basedOn w:val="a"/>
    <w:next w:val="a"/>
    <w:link w:val="Char"/>
    <w:qFormat/>
    <w:rsid w:val="004B1D60"/>
    <w:pPr>
      <w:ind w:leftChars="2500" w:left="100"/>
    </w:pPr>
  </w:style>
  <w:style w:type="paragraph" w:styleId="a5">
    <w:name w:val="Balloon Text"/>
    <w:basedOn w:val="a"/>
    <w:semiHidden/>
    <w:qFormat/>
    <w:rsid w:val="004B1D60"/>
    <w:rPr>
      <w:sz w:val="18"/>
      <w:szCs w:val="18"/>
    </w:rPr>
  </w:style>
  <w:style w:type="paragraph" w:styleId="a6">
    <w:name w:val="footer"/>
    <w:basedOn w:val="a"/>
    <w:link w:val="Char0"/>
    <w:qFormat/>
    <w:rsid w:val="004B1D60"/>
    <w:pPr>
      <w:tabs>
        <w:tab w:val="center" w:pos="4153"/>
        <w:tab w:val="right" w:pos="8306"/>
      </w:tabs>
      <w:snapToGrid w:val="0"/>
      <w:jc w:val="left"/>
    </w:pPr>
    <w:rPr>
      <w:sz w:val="18"/>
      <w:szCs w:val="18"/>
    </w:rPr>
  </w:style>
  <w:style w:type="paragraph" w:styleId="a7">
    <w:name w:val="header"/>
    <w:basedOn w:val="a"/>
    <w:link w:val="Char1"/>
    <w:qFormat/>
    <w:rsid w:val="004B1D60"/>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4B1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B1D60"/>
    <w:rPr>
      <w:b/>
      <w:bCs/>
    </w:rPr>
  </w:style>
  <w:style w:type="character" w:styleId="HTML">
    <w:name w:val="HTML Typewriter"/>
    <w:qFormat/>
    <w:rsid w:val="004B1D60"/>
    <w:rPr>
      <w:rFonts w:ascii="宋体" w:eastAsia="宋体" w:hAnsi="宋体" w:cs="宋体"/>
      <w:sz w:val="24"/>
      <w:szCs w:val="24"/>
    </w:rPr>
  </w:style>
  <w:style w:type="paragraph" w:customStyle="1" w:styleId="font14">
    <w:name w:val="font14"/>
    <w:basedOn w:val="a"/>
    <w:qFormat/>
    <w:rsid w:val="004B1D60"/>
    <w:pPr>
      <w:widowControl/>
      <w:spacing w:before="100" w:beforeAutospacing="1" w:after="100" w:afterAutospacing="1" w:line="360" w:lineRule="auto"/>
      <w:jc w:val="left"/>
    </w:pPr>
    <w:rPr>
      <w:rFonts w:ascii="宋体" w:hAnsi="宋体" w:cs="宋体"/>
      <w:kern w:val="0"/>
      <w:szCs w:val="21"/>
    </w:rPr>
  </w:style>
  <w:style w:type="character" w:customStyle="1" w:styleId="Char1">
    <w:name w:val="页眉 Char"/>
    <w:link w:val="a7"/>
    <w:qFormat/>
    <w:rsid w:val="004B1D60"/>
    <w:rPr>
      <w:kern w:val="2"/>
      <w:sz w:val="18"/>
      <w:szCs w:val="18"/>
    </w:rPr>
  </w:style>
  <w:style w:type="character" w:customStyle="1" w:styleId="Char0">
    <w:name w:val="页脚 Char"/>
    <w:link w:val="a6"/>
    <w:qFormat/>
    <w:rsid w:val="004B1D60"/>
    <w:rPr>
      <w:kern w:val="2"/>
      <w:sz w:val="18"/>
      <w:szCs w:val="18"/>
    </w:rPr>
  </w:style>
  <w:style w:type="character" w:customStyle="1" w:styleId="Char">
    <w:name w:val="日期 Char"/>
    <w:link w:val="a4"/>
    <w:qFormat/>
    <w:rsid w:val="004B1D6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96A43F73-4E37-4A03-8E34-42AFF5AD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1701</Characters>
  <Application>Microsoft Office Word</Application>
  <DocSecurity>4</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2025-06-27T16:02:00Z</dcterms:created>
  <dcterms:modified xsi:type="dcterms:W3CDTF">2025-06-27T16:02:00Z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20938332799E87B51225526826F966EC</vt:lpwstr>
  </property>
  <property fmtid="{D5CDD505-2E9C-101B-9397-08002B2CF9AE}" pid="3" name="KSOProductBuildVer">
    <vt:lpwstr>2052-11.8.2.12219</vt:lpwstr>
  </property>
</Properties>
</file>