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DD" w:rsidRDefault="004D6DBB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中银基金管理有限公司旗下基金更新招募说明书</w:t>
      </w:r>
    </w:p>
    <w:p w:rsidR="004018DD" w:rsidRDefault="004D6DBB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4018DD" w:rsidRDefault="004018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018DD" w:rsidRDefault="004D6DB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中银基金管理有限公司旗下</w:t>
      </w:r>
      <w:r>
        <w:rPr>
          <w:rFonts w:ascii="仿宋" w:eastAsia="仿宋" w:hAnsi="仿宋"/>
          <w:sz w:val="28"/>
          <w:szCs w:val="28"/>
        </w:rPr>
        <w:t>基金更新</w:t>
      </w:r>
      <w:r>
        <w:rPr>
          <w:rFonts w:ascii="仿宋" w:eastAsia="仿宋" w:hAnsi="仿宋" w:hint="eastAsia"/>
          <w:sz w:val="28"/>
          <w:szCs w:val="28"/>
        </w:rPr>
        <w:t>招募说明书全文于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日在本公司网站（</w:t>
      </w:r>
      <w:r>
        <w:rPr>
          <w:rFonts w:ascii="仿宋" w:eastAsia="仿宋" w:hAnsi="仿宋"/>
          <w:sz w:val="28"/>
          <w:szCs w:val="28"/>
        </w:rPr>
        <w:t>http://www.bocim.com</w:t>
      </w:r>
      <w:r>
        <w:rPr>
          <w:rFonts w:ascii="仿宋" w:eastAsia="仿宋" w:hAnsi="仿宋" w:hint="eastAsia"/>
          <w:sz w:val="28"/>
          <w:szCs w:val="28"/>
        </w:rPr>
        <w:t>）和中国证监会基金电子</w:t>
      </w:r>
      <w:r>
        <w:rPr>
          <w:rFonts w:ascii="仿宋" w:eastAsia="仿宋" w:hAnsi="仿宋"/>
          <w:sz w:val="28"/>
          <w:szCs w:val="28"/>
        </w:rPr>
        <w:t>披露网站</w:t>
      </w:r>
      <w:r>
        <w:rPr>
          <w:rFonts w:ascii="仿宋" w:eastAsia="仿宋" w:hAnsi="仿宋" w:hint="eastAsia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http://eid.csrc.gov.cn/fund</w:t>
        </w:r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）披露</w:t>
        </w:r>
        <w:r>
          <w:rPr>
            <w:rStyle w:val="a9"/>
            <w:rFonts w:ascii="仿宋" w:eastAsia="仿宋" w:hAnsi="仿宋"/>
            <w:color w:val="auto"/>
            <w:sz w:val="28"/>
            <w:szCs w:val="28"/>
            <w:u w:val="none"/>
          </w:rPr>
          <w:t>，供投资者查阅</w:t>
        </w:r>
      </w:hyperlink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W w:w="8745" w:type="dxa"/>
        <w:tblInd w:w="93" w:type="dxa"/>
        <w:tblLook w:val="04A0"/>
      </w:tblPr>
      <w:tblGrid>
        <w:gridCol w:w="1080"/>
        <w:gridCol w:w="7665"/>
      </w:tblGrid>
      <w:tr w:rsidR="004018DD">
        <w:trPr>
          <w:trHeight w:val="3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中银中国精选混合型开放式证券投资基金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上证国有企业</w:t>
            </w:r>
            <w:r>
              <w:rPr>
                <w:rStyle w:val="font01"/>
                <w:rFonts w:eastAsia="宋体"/>
                <w:lang/>
              </w:rPr>
              <w:t>100</w:t>
            </w:r>
            <w:r>
              <w:rPr>
                <w:rStyle w:val="font21"/>
                <w:rFonts w:hint="default"/>
                <w:lang/>
              </w:rPr>
              <w:t>交易型开放式指数证券投资基金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</w:t>
            </w:r>
            <w:r>
              <w:rPr>
                <w:rStyle w:val="font01"/>
                <w:rFonts w:eastAsia="宋体"/>
                <w:lang/>
              </w:rPr>
              <w:t>ESG</w:t>
            </w:r>
            <w:r>
              <w:rPr>
                <w:rStyle w:val="font21"/>
                <w:rFonts w:hint="default"/>
                <w:lang/>
              </w:rPr>
              <w:t>主题混合型发起式证券投资基金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</w:t>
            </w:r>
            <w:r>
              <w:rPr>
                <w:rStyle w:val="font01"/>
                <w:rFonts w:eastAsia="宋体"/>
                <w:lang/>
              </w:rPr>
              <w:t>MSCI</w:t>
            </w:r>
            <w:r>
              <w:rPr>
                <w:rStyle w:val="font21"/>
                <w:rFonts w:hint="default"/>
                <w:lang/>
              </w:rPr>
              <w:t>中国</w:t>
            </w:r>
            <w:r>
              <w:rPr>
                <w:rStyle w:val="font01"/>
                <w:rFonts w:eastAsia="宋体"/>
                <w:lang/>
              </w:rPr>
              <w:t>A50</w:t>
            </w:r>
            <w:r>
              <w:rPr>
                <w:rStyle w:val="font21"/>
                <w:rFonts w:hint="default"/>
                <w:lang/>
              </w:rPr>
              <w:t>互联互通指数增强型证券投资基金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中银安康平衡养老目标三年持有期混合型发起式基金中基金</w:t>
            </w:r>
            <w:r>
              <w:rPr>
                <w:rStyle w:val="font01"/>
                <w:rFonts w:eastAsia="宋体"/>
                <w:lang/>
              </w:rPr>
              <w:t>(FOF)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中银安康稳健养老目标一年持有期混合型基金中基金（</w:t>
            </w:r>
            <w:r>
              <w:rPr>
                <w:rStyle w:val="font01"/>
                <w:rFonts w:eastAsia="宋体"/>
                <w:lang/>
              </w:rPr>
              <w:t>FOF</w:t>
            </w:r>
            <w:r>
              <w:rPr>
                <w:rStyle w:val="font21"/>
                <w:rFonts w:hint="default"/>
                <w:lang/>
              </w:rPr>
              <w:t>）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中银安享债券型证券投资基金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中银安心回报半年定期开放债券型证券投资基金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中银澳享一年定期开放债券型发起式证券投资基金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中银产业债债券型证券投资基金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中银成长优选股票型证券投资基金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中银持续增长混合型证券投资基金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中银创新医疗混合型证券投资基金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中银纯债债券型证券投资基金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中银淳利三个月持有期债券型证券投资基金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中银淳享一年定期开放债券型发起式证券投资基金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中银大健康股票型证券投资基金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中银动态策略混合型证券投资基金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中银多策略灵活配置混合型证券投资基金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中银丰和定期开放债券型发起式证券投资基金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中银丰进定期开放债券型发起式证券投资基金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中银丰庆定期开放债券型证券投资基金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中银丰荣定期开放债券型发起式证券投资基金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中银丰润定期开放债券型发起式证券投资基金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中银丰实定期开放债券型发起式证券投资基金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中银丰禧定期开放债券型发起式证券投资基金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中银福建国有企业债</w:t>
            </w:r>
            <w:r>
              <w:rPr>
                <w:rStyle w:val="font01"/>
                <w:rFonts w:eastAsia="宋体"/>
                <w:lang/>
              </w:rPr>
              <w:t>6</w:t>
            </w:r>
            <w:r>
              <w:rPr>
                <w:rStyle w:val="font21"/>
                <w:rFonts w:hint="default"/>
                <w:lang/>
              </w:rPr>
              <w:t>个月定期开放债券型证券投资基金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中银富利</w:t>
            </w:r>
            <w:r>
              <w:rPr>
                <w:rStyle w:val="font01"/>
                <w:rFonts w:eastAsia="宋体"/>
                <w:lang/>
              </w:rPr>
              <w:t>6</w:t>
            </w:r>
            <w:r>
              <w:rPr>
                <w:rStyle w:val="font21"/>
                <w:rFonts w:hint="default"/>
                <w:lang/>
              </w:rPr>
              <w:t>个月持有期混合型证券投资基金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中银富享定期开放债券型发起式证券投资基金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中银港股通医药混合型发起式证券投资基金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中银港股通优势成长股票型证券投资基金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中银高质量发展机遇混合型证券投资基金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中银广利灵活配置混合型证券投资基金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中银国有企业债债券型证券投资基金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中银核心精选混合型证券投资基金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中银恒嘉</w:t>
            </w:r>
            <w:r>
              <w:rPr>
                <w:rStyle w:val="font01"/>
                <w:rFonts w:eastAsia="宋体"/>
                <w:lang/>
              </w:rPr>
              <w:t>60</w:t>
            </w:r>
            <w:r>
              <w:rPr>
                <w:rStyle w:val="font21"/>
                <w:rFonts w:hint="default"/>
                <w:lang/>
              </w:rPr>
              <w:t>天滚动持有短债债券型证券投资基金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中银恒利半年定期开放债券型证券投资基金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中银恒泰</w:t>
            </w:r>
            <w:r>
              <w:rPr>
                <w:rStyle w:val="font01"/>
                <w:rFonts w:eastAsia="宋体"/>
                <w:lang/>
              </w:rPr>
              <w:t>9</w:t>
            </w:r>
            <w:r>
              <w:rPr>
                <w:rStyle w:val="font21"/>
                <w:rFonts w:hint="default"/>
                <w:lang/>
              </w:rPr>
              <w:t>个月持有期债券型证券投资基金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中银恒优</w:t>
            </w:r>
            <w:r>
              <w:rPr>
                <w:rStyle w:val="font01"/>
                <w:rFonts w:eastAsia="宋体"/>
                <w:lang/>
              </w:rPr>
              <w:t>12</w:t>
            </w:r>
            <w:r>
              <w:rPr>
                <w:rStyle w:val="font21"/>
                <w:rFonts w:hint="default"/>
                <w:lang/>
              </w:rPr>
              <w:t>个月持有期债券型证券投资基金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中银恒悦</w:t>
            </w:r>
            <w:r>
              <w:rPr>
                <w:rStyle w:val="font01"/>
                <w:rFonts w:eastAsia="宋体"/>
                <w:lang/>
              </w:rPr>
              <w:t>180</w:t>
            </w:r>
            <w:r>
              <w:rPr>
                <w:rStyle w:val="font21"/>
                <w:rFonts w:hint="default"/>
                <w:lang/>
              </w:rPr>
              <w:t>天持有期债券型证券投资基金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中银弘享债券型证券投资基金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中银宏观策略灵活配置混合型证券投资基金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中银互利半年定期开放债券型证券投资基金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中银沪深</w:t>
            </w:r>
            <w:r>
              <w:rPr>
                <w:rStyle w:val="font01"/>
                <w:rFonts w:eastAsia="宋体"/>
                <w:lang/>
              </w:rPr>
              <w:t>300</w:t>
            </w:r>
            <w:r>
              <w:rPr>
                <w:rStyle w:val="font21"/>
                <w:rFonts w:hint="default"/>
                <w:lang/>
              </w:rPr>
              <w:t>等权重指数证券投资基金</w:t>
            </w:r>
            <w:r>
              <w:rPr>
                <w:rStyle w:val="font01"/>
                <w:rFonts w:eastAsia="宋体"/>
                <w:lang/>
              </w:rPr>
              <w:t>(LOF)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中银沪深</w:t>
            </w:r>
            <w:r>
              <w:rPr>
                <w:rStyle w:val="font01"/>
                <w:rFonts w:eastAsia="宋体"/>
                <w:lang/>
              </w:rPr>
              <w:t>300</w:t>
            </w:r>
            <w:r>
              <w:rPr>
                <w:rStyle w:val="font21"/>
                <w:rFonts w:hint="default"/>
                <w:lang/>
              </w:rPr>
              <w:t>指数增强型证券投资基金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中银汇享债券型证券投资基金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中银惠利纯债半年定期开放债券型证券投资基金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中银慧泽积极</w:t>
            </w:r>
            <w:r>
              <w:rPr>
                <w:rStyle w:val="font01"/>
                <w:rFonts w:eastAsia="宋体"/>
                <w:lang/>
              </w:rPr>
              <w:t>3</w:t>
            </w:r>
            <w:r>
              <w:rPr>
                <w:rStyle w:val="font21"/>
                <w:rFonts w:hint="default"/>
                <w:lang/>
              </w:rPr>
              <w:t>个月持有期混合型发起式基金中基金（</w:t>
            </w:r>
            <w:r>
              <w:rPr>
                <w:rStyle w:val="font01"/>
                <w:rFonts w:eastAsia="宋体"/>
                <w:lang/>
              </w:rPr>
              <w:t>FOF</w:t>
            </w:r>
            <w:r>
              <w:rPr>
                <w:rStyle w:val="font21"/>
                <w:rFonts w:hint="default"/>
                <w:lang/>
              </w:rPr>
              <w:t>）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中银慧泽平衡</w:t>
            </w:r>
            <w:r>
              <w:rPr>
                <w:rStyle w:val="font01"/>
                <w:rFonts w:eastAsia="宋体"/>
                <w:lang/>
              </w:rPr>
              <w:t>3</w:t>
            </w:r>
            <w:r>
              <w:rPr>
                <w:rStyle w:val="font21"/>
                <w:rFonts w:hint="default"/>
                <w:lang/>
              </w:rPr>
              <w:t>个月持有期混合型发起式基金中基金（</w:t>
            </w:r>
            <w:r>
              <w:rPr>
                <w:rStyle w:val="font01"/>
                <w:rFonts w:eastAsia="宋体"/>
                <w:lang/>
              </w:rPr>
              <w:t>FOF</w:t>
            </w:r>
            <w:r>
              <w:rPr>
                <w:rStyle w:val="font21"/>
                <w:rFonts w:hint="default"/>
                <w:lang/>
              </w:rPr>
              <w:t>）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中银慧泽稳健</w:t>
            </w:r>
            <w:r>
              <w:rPr>
                <w:rStyle w:val="font01"/>
                <w:rFonts w:eastAsia="宋体"/>
                <w:lang/>
              </w:rPr>
              <w:t>3</w:t>
            </w:r>
            <w:r>
              <w:rPr>
                <w:rStyle w:val="font21"/>
                <w:rFonts w:hint="default"/>
                <w:lang/>
              </w:rPr>
              <w:t>个月持有期混合型发起式基金中基金（</w:t>
            </w:r>
            <w:r>
              <w:rPr>
                <w:rStyle w:val="font01"/>
                <w:rFonts w:eastAsia="宋体"/>
                <w:lang/>
              </w:rPr>
              <w:t>FOF</w:t>
            </w:r>
            <w:r>
              <w:rPr>
                <w:rStyle w:val="font21"/>
                <w:rFonts w:hint="default"/>
                <w:lang/>
              </w:rPr>
              <w:t>）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中银活期宝货币市场基金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中银货币市场证券投资基金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中银机构现金管理货币市场基金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中银季季红定期开放债券型证券投资基金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中银季季享</w:t>
            </w:r>
            <w:r>
              <w:rPr>
                <w:rStyle w:val="font01"/>
                <w:rFonts w:eastAsia="宋体"/>
                <w:lang/>
              </w:rPr>
              <w:t>90</w:t>
            </w:r>
            <w:r>
              <w:rPr>
                <w:rStyle w:val="font21"/>
                <w:rFonts w:hint="default"/>
                <w:lang/>
              </w:rPr>
              <w:t>天滚动持有中短债债券型发起式证券投资基金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中银嘉享</w:t>
            </w:r>
            <w:r>
              <w:rPr>
                <w:rStyle w:val="font01"/>
                <w:rFonts w:eastAsia="宋体"/>
                <w:lang/>
              </w:rPr>
              <w:t>3</w:t>
            </w:r>
            <w:r>
              <w:rPr>
                <w:rStyle w:val="font21"/>
                <w:rFonts w:hint="default"/>
                <w:lang/>
              </w:rPr>
              <w:t>个月定期开放债券型证券投资基金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中银价值发现混合型发起式证券投资基金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中银价值精选灵活配置混合型证券投资基金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中银健康生活混合型证券投资基金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中银金融地产混合型证券投资基金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中银景福回报混合型证券投资基金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中银景泰回报混合型证券投资基金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中银景元回报混合型证券投资基金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中银聚享债券型证券投资基金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中银康享</w:t>
            </w:r>
            <w:r>
              <w:rPr>
                <w:rStyle w:val="font01"/>
                <w:rFonts w:eastAsia="宋体"/>
                <w:lang/>
              </w:rPr>
              <w:t>3</w:t>
            </w:r>
            <w:r>
              <w:rPr>
                <w:rStyle w:val="font21"/>
                <w:rFonts w:hint="default"/>
                <w:lang/>
              </w:rPr>
              <w:t>个月定期开放债券型发起式证券投资基金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中银科技创新一年定期开放混合型证券投资基金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中银蓝筹精选灵活配置混合型证券投资基金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中银乐享债券型证券投资基金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中银利享定期开放债券型证券投资基金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中银量化精选灵活配置混合型证券投资基金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中银量化选股混合型发起式证券投资基金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中银美丽中国混合型证券投资基金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中银美元债债券型证券投资基金</w:t>
            </w:r>
            <w:r>
              <w:rPr>
                <w:rStyle w:val="font01"/>
                <w:rFonts w:eastAsia="宋体"/>
                <w:lang/>
              </w:rPr>
              <w:t>(QDII)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中银民丰回报混合型证券投资基金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中银民利一年持有期债券型证券投资基金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中银内核驱动股票型证券投资基金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中银宁享债券型证券投资基金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中银彭博政策性银行债券</w:t>
            </w:r>
            <w:r>
              <w:rPr>
                <w:rStyle w:val="font01"/>
                <w:rFonts w:eastAsia="宋体"/>
                <w:lang/>
              </w:rPr>
              <w:t>1-5</w:t>
            </w:r>
            <w:r>
              <w:rPr>
                <w:rStyle w:val="font21"/>
                <w:rFonts w:hint="default"/>
                <w:lang/>
              </w:rPr>
              <w:t>年指数证券投资基金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中银全球策略证券投资基金</w:t>
            </w:r>
            <w:r>
              <w:rPr>
                <w:rStyle w:val="font01"/>
                <w:rFonts w:eastAsia="宋体"/>
                <w:lang/>
              </w:rPr>
              <w:t>(FOF)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中银荣享债券型证券投资基金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中银如意宝货币市场基金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中银瑞福浮动净值型发起式货币市场基金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中银睿享定期开放债券型发起式证券投资基金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中银睿泽稳健</w:t>
            </w:r>
            <w:r>
              <w:rPr>
                <w:rStyle w:val="font01"/>
                <w:rFonts w:eastAsia="宋体"/>
                <w:lang/>
              </w:rPr>
              <w:t>3</w:t>
            </w:r>
            <w:r>
              <w:rPr>
                <w:rStyle w:val="font21"/>
                <w:rFonts w:hint="default"/>
                <w:lang/>
              </w:rPr>
              <w:t>个月持有期混合型基金中基金</w:t>
            </w:r>
            <w:r>
              <w:rPr>
                <w:rStyle w:val="font01"/>
                <w:rFonts w:eastAsia="宋体"/>
                <w:lang/>
              </w:rPr>
              <w:t xml:space="preserve"> </w:t>
            </w:r>
            <w:r>
              <w:rPr>
                <w:rStyle w:val="font21"/>
                <w:rFonts w:hint="default"/>
                <w:lang/>
              </w:rPr>
              <w:t>（</w:t>
            </w:r>
            <w:r>
              <w:rPr>
                <w:rStyle w:val="font01"/>
                <w:rFonts w:eastAsia="宋体"/>
                <w:lang/>
              </w:rPr>
              <w:t>FOF</w:t>
            </w:r>
            <w:r>
              <w:rPr>
                <w:rStyle w:val="font21"/>
                <w:rFonts w:hint="default"/>
                <w:lang/>
              </w:rPr>
              <w:t>）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中银上海金交易型开放式证券投资基金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中银上海金交易型开放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式证券投资基金联接基金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中银上海清算所</w:t>
            </w:r>
            <w:r>
              <w:rPr>
                <w:rStyle w:val="font01"/>
                <w:rFonts w:eastAsia="宋体"/>
                <w:lang/>
              </w:rPr>
              <w:t>0-5</w:t>
            </w:r>
            <w:r>
              <w:rPr>
                <w:rStyle w:val="font21"/>
                <w:rFonts w:hint="default"/>
                <w:lang/>
              </w:rPr>
              <w:t>年农发行债券指数证券投资基金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中银上证科创板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成份交易型开放式指数证券投资基金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中银上证科创板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成份交易型开放式指数证券投资基金联接基金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中银收益混合型证券投资基金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中银数字经济混合型证券投资基金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中银双息回报混合型证券投资基金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中银顺兴回报一年持有期混合型证券投资基金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中银顺泽回报一年持有期混合型证券投资基金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中银泰享定期开放债券型发起式证券投资基金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中银添瑞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中银添盛</w:t>
            </w:r>
            <w:r>
              <w:rPr>
                <w:rStyle w:val="font01"/>
                <w:rFonts w:eastAsia="宋体"/>
                <w:lang/>
              </w:rPr>
              <w:t>39</w:t>
            </w:r>
            <w:r>
              <w:rPr>
                <w:rStyle w:val="font21"/>
                <w:rFonts w:hint="default"/>
                <w:lang/>
              </w:rPr>
              <w:t>个月定期开放债券型证券投资基金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中银添禧丰禄稳健养老目标一年持有期混合型基金中基金（</w:t>
            </w:r>
            <w:r>
              <w:rPr>
                <w:rStyle w:val="font01"/>
                <w:rFonts w:eastAsia="宋体"/>
                <w:lang/>
              </w:rPr>
              <w:t>FOF</w:t>
            </w:r>
            <w:r>
              <w:rPr>
                <w:rStyle w:val="font21"/>
                <w:rFonts w:hint="default"/>
                <w:lang/>
              </w:rPr>
              <w:t>）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中银通利债券型证券投资基金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中银同享一年定期开放债券型发起式证券投资基金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中银稳汇短债债券型证券投资基金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中银稳健策略灵活配置混合型证券投资基金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中银稳健双利债券型证券投资基金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中银稳健添利债券型发起式证券投资基金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中银稳健增利债券型证券投资基金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中银稳进策略灵活配置混合型证券投资基金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中银沃享一年定期开放债券型发起式证券投资基金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中银消费主题混合型证券投资基金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中银欣享利率债债券型证券投资基金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中银新财富灵活配置混合型证券投资基金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中银新动力股票型证券投资基金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中银新华中诚信红利价值指数型发起式证券投资基金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中银新回报灵活配置混合型证券投资基金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中银新机遇灵活配置混合型证券投资基金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中银新经济灵活配置混合型证券投资基金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中银新能源产业股票型证券投资基金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中银新趋势灵活配置混合型证券投资基金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中银薪钱包货币市场基金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中银鑫呈一年定期开放债券型发起式证券投资基金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中银鑫利灵活配置混合型证券投资基金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中银鑫盛一年持有期债券型证券投资基金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中银鑫新消费成长混合型证券投资基金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中银信享定期开放债券型发起式证券投资基金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中银信用增利债券型证券投资基金</w:t>
            </w:r>
            <w:r>
              <w:rPr>
                <w:rStyle w:val="font01"/>
                <w:rFonts w:eastAsia="宋体"/>
                <w:lang/>
              </w:rPr>
              <w:t>(LOF)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中银行业优选灵活配置混合型证券投资基金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中银兴利稳健回报灵活配置混合型证券投资基金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中银亚太精选债券型证券投资基金</w:t>
            </w:r>
            <w:r>
              <w:rPr>
                <w:rStyle w:val="font01"/>
                <w:rFonts w:eastAsia="宋体"/>
                <w:lang/>
              </w:rPr>
              <w:t>(QDII)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中银研究精选灵活配置混合型证券投资基金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中银养老目标日期</w:t>
            </w:r>
            <w:r>
              <w:rPr>
                <w:rStyle w:val="font01"/>
                <w:rFonts w:eastAsia="宋体"/>
                <w:lang/>
              </w:rPr>
              <w:t>2035</w:t>
            </w:r>
            <w:r>
              <w:rPr>
                <w:rStyle w:val="font21"/>
                <w:rFonts w:hint="default"/>
                <w:lang/>
              </w:rPr>
              <w:t>三年持有期混合型发起式基金中基金（</w:t>
            </w:r>
            <w:r>
              <w:rPr>
                <w:rStyle w:val="font01"/>
                <w:rFonts w:eastAsia="宋体"/>
                <w:lang/>
              </w:rPr>
              <w:t>FOF</w:t>
            </w:r>
            <w:r>
              <w:rPr>
                <w:rStyle w:val="font21"/>
                <w:rFonts w:hint="default"/>
                <w:lang/>
              </w:rPr>
              <w:t>）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中银养老目标日期</w:t>
            </w:r>
            <w:r>
              <w:rPr>
                <w:rStyle w:val="font01"/>
                <w:rFonts w:eastAsia="宋体"/>
                <w:lang/>
              </w:rPr>
              <w:t>2050</w:t>
            </w:r>
            <w:r>
              <w:rPr>
                <w:rStyle w:val="font21"/>
                <w:rFonts w:hint="default"/>
                <w:lang/>
              </w:rPr>
              <w:t>五年持有期混合型发起式基金中基金</w:t>
            </w:r>
            <w:r>
              <w:rPr>
                <w:rStyle w:val="font01"/>
                <w:rFonts w:eastAsia="宋体"/>
                <w:lang/>
              </w:rPr>
              <w:t>(FOF)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中银医疗保健灵活配置混合型证券投资基金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中银颐利灵活配置混合型证券投资基金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中银永利半年定期开放债券型证券投资基金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中银优秀企业混合型证券投资基金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中银誉享一年定期开放债券型发起式证券投资基金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中银远见成长混合型证券投资基金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中银月月鑫</w:t>
            </w:r>
            <w:r>
              <w:rPr>
                <w:rStyle w:val="font01"/>
                <w:rFonts w:eastAsia="宋体"/>
                <w:lang/>
              </w:rPr>
              <w:t xml:space="preserve"> 30 </w:t>
            </w:r>
            <w:r>
              <w:rPr>
                <w:rStyle w:val="font21"/>
                <w:rFonts w:hint="default"/>
                <w:lang/>
              </w:rPr>
              <w:t>天滚动持有债券型证券投资基金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中银悦享定期开放债券型发起式证券投资基金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中银战略新兴产业股票型证券投资基金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中银招利债券型证券投资基金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中银珍利灵活配置混合型证券投资基金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中银臻享债券型证券投资基金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中银智能制造股票型证券投资基金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中银智享债券型证券投资基金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中银中短债债券型证券投资基金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中银中高等级债券型证券投资基金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中银中小盘成长混合型证券投资基金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中银中债</w:t>
            </w:r>
            <w:r>
              <w:rPr>
                <w:rStyle w:val="font01"/>
                <w:rFonts w:eastAsia="宋体"/>
                <w:lang/>
              </w:rPr>
              <w:t>1-3</w:t>
            </w:r>
            <w:r>
              <w:rPr>
                <w:rStyle w:val="font21"/>
                <w:rFonts w:hint="default"/>
                <w:lang/>
              </w:rPr>
              <w:t>年期国开行债券指数证券投资基金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中银中债</w:t>
            </w:r>
            <w:r>
              <w:rPr>
                <w:rStyle w:val="font01"/>
                <w:rFonts w:eastAsia="宋体"/>
                <w:lang/>
              </w:rPr>
              <w:t>1-3</w:t>
            </w:r>
            <w:r>
              <w:rPr>
                <w:rStyle w:val="font21"/>
                <w:rFonts w:hint="default"/>
                <w:lang/>
              </w:rPr>
              <w:t>年期农发行债券指数证券投资基金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中银中债</w:t>
            </w:r>
            <w:r>
              <w:rPr>
                <w:rStyle w:val="font01"/>
                <w:rFonts w:eastAsia="宋体"/>
                <w:lang/>
              </w:rPr>
              <w:t>1-5</w:t>
            </w:r>
            <w:r>
              <w:rPr>
                <w:rStyle w:val="font21"/>
                <w:rFonts w:hint="default"/>
                <w:lang/>
              </w:rPr>
              <w:t>年进出口行债券指数证券投资基金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中银中债</w:t>
            </w:r>
            <w:r>
              <w:rPr>
                <w:rStyle w:val="font01"/>
                <w:rFonts w:eastAsia="宋体"/>
                <w:lang/>
              </w:rPr>
              <w:t>1-5</w:t>
            </w:r>
            <w:r>
              <w:rPr>
                <w:rStyle w:val="font21"/>
                <w:rFonts w:hint="default"/>
                <w:lang/>
              </w:rPr>
              <w:t>年期国开行债券指数证券投资基金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中银中债</w:t>
            </w:r>
            <w:r>
              <w:rPr>
                <w:rStyle w:val="font01"/>
                <w:rFonts w:eastAsia="宋体"/>
                <w:lang/>
              </w:rPr>
              <w:t>3-5</w:t>
            </w:r>
            <w:r>
              <w:rPr>
                <w:rStyle w:val="font21"/>
                <w:rFonts w:hint="default"/>
                <w:lang/>
              </w:rPr>
              <w:t>年期农发行债券指数证券投资基金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中银中证</w:t>
            </w:r>
            <w:r>
              <w:rPr>
                <w:rStyle w:val="font01"/>
                <w:rFonts w:eastAsia="宋体"/>
                <w:lang/>
              </w:rPr>
              <w:t xml:space="preserve"> 1000 </w:t>
            </w:r>
            <w:r>
              <w:rPr>
                <w:rStyle w:val="font21"/>
                <w:rFonts w:hint="default"/>
                <w:lang/>
              </w:rPr>
              <w:t>指数增强型证券投资基金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中银中证</w:t>
            </w:r>
            <w:r>
              <w:rPr>
                <w:rStyle w:val="font01"/>
                <w:rFonts w:eastAsia="宋体"/>
                <w:lang/>
              </w:rPr>
              <w:t>500</w:t>
            </w:r>
            <w:r>
              <w:rPr>
                <w:rStyle w:val="font21"/>
                <w:rFonts w:hint="default"/>
                <w:lang/>
              </w:rPr>
              <w:t>指数增强型发起式证券投资基金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中银中证</w:t>
            </w:r>
            <w:r>
              <w:rPr>
                <w:rStyle w:val="font01"/>
                <w:rFonts w:eastAsia="宋体"/>
                <w:lang/>
              </w:rPr>
              <w:t>A100</w:t>
            </w:r>
            <w:r>
              <w:rPr>
                <w:rStyle w:val="font21"/>
                <w:rFonts w:hint="default"/>
                <w:lang/>
              </w:rPr>
              <w:t>指数增强型证券投资基金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中银中证港股通高股息投资指数型证券投资基金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中银中证全指自由现金流交易型开放式指数证券投资基金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中银中证同业存单</w:t>
            </w:r>
            <w:r>
              <w:rPr>
                <w:rStyle w:val="font01"/>
                <w:rFonts w:eastAsia="宋体"/>
                <w:lang/>
              </w:rPr>
              <w:t>AAA</w:t>
            </w:r>
            <w:r>
              <w:rPr>
                <w:rStyle w:val="font21"/>
                <w:rFonts w:hint="default"/>
                <w:lang/>
              </w:rPr>
              <w:t>指数</w:t>
            </w:r>
            <w:r>
              <w:rPr>
                <w:rStyle w:val="font01"/>
                <w:rFonts w:eastAsia="宋体"/>
                <w:lang/>
              </w:rPr>
              <w:t>7</w:t>
            </w:r>
            <w:r>
              <w:rPr>
                <w:rStyle w:val="font21"/>
                <w:rFonts w:hint="default"/>
                <w:lang/>
              </w:rPr>
              <w:t>天持有期证券投资基金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/>
              </w:rPr>
              <w:t>中银中证央企红利</w:t>
            </w:r>
            <w:r>
              <w:rPr>
                <w:rStyle w:val="font01"/>
                <w:rFonts w:eastAsia="宋体"/>
                <w:lang/>
              </w:rPr>
              <w:t>50</w:t>
            </w:r>
            <w:r>
              <w:rPr>
                <w:rStyle w:val="font21"/>
                <w:rFonts w:hint="default"/>
                <w:lang/>
              </w:rPr>
              <w:t>指数型证券投资基金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中银周期优选混合型发起式证券投资基金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中银主题策略混合型证券投资基金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中银转债增强债券型证券投资基金</w:t>
            </w:r>
          </w:p>
        </w:tc>
      </w:tr>
      <w:tr w:rsidR="004018DD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18DD" w:rsidRDefault="004D6DB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中银卓越成长混合型证券投资基金</w:t>
            </w:r>
          </w:p>
        </w:tc>
      </w:tr>
    </w:tbl>
    <w:p w:rsidR="004018DD" w:rsidRDefault="004D6DB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sz w:val="28"/>
          <w:szCs w:val="28"/>
        </w:rPr>
        <w:t xml:space="preserve">4008885566 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 xml:space="preserve"> 021-38834788</w:t>
      </w:r>
      <w:r>
        <w:rPr>
          <w:rFonts w:ascii="仿宋" w:eastAsia="仿宋" w:hAnsi="仿宋" w:hint="eastAsia"/>
          <w:sz w:val="28"/>
          <w:szCs w:val="28"/>
        </w:rPr>
        <w:t>）咨询</w:t>
      </w:r>
      <w:r>
        <w:rPr>
          <w:rFonts w:ascii="仿宋" w:eastAsia="仿宋" w:hAnsi="仿宋"/>
          <w:sz w:val="28"/>
          <w:szCs w:val="28"/>
        </w:rPr>
        <w:t>。</w:t>
      </w:r>
    </w:p>
    <w:p w:rsidR="004018DD" w:rsidRDefault="004D6DB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本基金管理人承诺以诚实信</w:t>
      </w:r>
      <w:r>
        <w:rPr>
          <w:rFonts w:ascii="仿宋" w:eastAsia="仿宋" w:hAnsi="仿宋"/>
          <w:sz w:val="28"/>
          <w:szCs w:val="28"/>
        </w:rPr>
        <w:t>用、勤勉尽责的原则管理和运</w:t>
      </w:r>
      <w:r>
        <w:rPr>
          <w:rFonts w:ascii="仿宋" w:eastAsia="仿宋" w:hAnsi="仿宋" w:hint="eastAsia"/>
          <w:sz w:val="28"/>
          <w:szCs w:val="28"/>
        </w:rPr>
        <w:t>用</w:t>
      </w:r>
      <w:r>
        <w:rPr>
          <w:rFonts w:ascii="仿宋" w:eastAsia="仿宋" w:hAnsi="仿宋"/>
          <w:sz w:val="28"/>
          <w:szCs w:val="28"/>
        </w:rPr>
        <w:t>基金资产，但不保证本</w:t>
      </w:r>
      <w:r>
        <w:rPr>
          <w:rFonts w:ascii="仿宋" w:eastAsia="仿宋" w:hAnsi="仿宋" w:hint="eastAsia"/>
          <w:sz w:val="28"/>
          <w:szCs w:val="28"/>
        </w:rPr>
        <w:t>基金</w:t>
      </w:r>
      <w:r>
        <w:rPr>
          <w:rFonts w:ascii="仿宋" w:eastAsia="仿宋" w:hAnsi="仿宋"/>
          <w:sz w:val="28"/>
          <w:szCs w:val="28"/>
        </w:rPr>
        <w:t>一定盈利，也不保证最低收益。</w:t>
      </w:r>
      <w:r>
        <w:rPr>
          <w:rFonts w:ascii="仿宋" w:eastAsia="仿宋" w:hAnsi="仿宋" w:hint="eastAsia"/>
          <w:sz w:val="28"/>
          <w:szCs w:val="28"/>
        </w:rPr>
        <w:t>请充分了解本基金的风险收益</w:t>
      </w:r>
      <w:r>
        <w:rPr>
          <w:rFonts w:ascii="仿宋" w:eastAsia="仿宋" w:hAnsi="仿宋"/>
          <w:sz w:val="28"/>
          <w:szCs w:val="28"/>
        </w:rPr>
        <w:t>特征</w:t>
      </w:r>
      <w:r>
        <w:rPr>
          <w:rFonts w:ascii="仿宋" w:eastAsia="仿宋" w:hAnsi="仿宋" w:hint="eastAsia"/>
          <w:sz w:val="28"/>
          <w:szCs w:val="28"/>
        </w:rPr>
        <w:t>，审慎做出投资决定。</w:t>
      </w:r>
    </w:p>
    <w:p w:rsidR="004018DD" w:rsidRDefault="004D6DB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特此公告。</w:t>
      </w:r>
    </w:p>
    <w:p w:rsidR="004018DD" w:rsidRDefault="004D6DBB">
      <w:pPr>
        <w:spacing w:line="540" w:lineRule="exact"/>
        <w:ind w:firstLineChars="250" w:firstLine="8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中银基金管理有限</w:t>
      </w:r>
      <w:r>
        <w:rPr>
          <w:rFonts w:ascii="仿宋" w:eastAsia="仿宋" w:hAnsi="仿宋"/>
          <w:sz w:val="28"/>
          <w:szCs w:val="28"/>
        </w:rPr>
        <w:t>公司</w:t>
      </w:r>
    </w:p>
    <w:p w:rsidR="004018DD" w:rsidRDefault="004D6DB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26</w:t>
      </w:r>
      <w:r>
        <w:rPr>
          <w:rFonts w:ascii="仿宋" w:eastAsia="仿宋" w:hAnsi="仿宋"/>
          <w:sz w:val="28"/>
          <w:szCs w:val="28"/>
        </w:rPr>
        <w:t>日</w:t>
      </w:r>
    </w:p>
    <w:sectPr w:rsidR="004018DD" w:rsidSect="004018D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DD" w:rsidRDefault="004018DD" w:rsidP="004018DD">
      <w:r>
        <w:separator/>
      </w:r>
    </w:p>
  </w:endnote>
  <w:endnote w:type="continuationSeparator" w:id="0">
    <w:p w:rsidR="004018DD" w:rsidRDefault="004018DD" w:rsidP="0040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018DD" w:rsidRDefault="004018DD">
        <w:pPr>
          <w:pStyle w:val="a5"/>
          <w:jc w:val="center"/>
        </w:pPr>
        <w:r>
          <w:fldChar w:fldCharType="begin"/>
        </w:r>
        <w:r w:rsidR="004D6DBB">
          <w:instrText>PAGE   \* MERGEFORMAT</w:instrText>
        </w:r>
        <w:r>
          <w:fldChar w:fldCharType="separate"/>
        </w:r>
        <w:r w:rsidR="004D6DBB" w:rsidRPr="004D6DBB">
          <w:rPr>
            <w:noProof/>
            <w:lang w:val="zh-CN"/>
          </w:rPr>
          <w:t>2</w:t>
        </w:r>
        <w:r>
          <w:fldChar w:fldCharType="end"/>
        </w:r>
      </w:p>
    </w:sdtContent>
  </w:sdt>
  <w:p w:rsidR="004018DD" w:rsidRDefault="004018D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018DD" w:rsidRDefault="004018DD">
        <w:pPr>
          <w:pStyle w:val="a5"/>
          <w:jc w:val="center"/>
        </w:pPr>
        <w:r>
          <w:fldChar w:fldCharType="begin"/>
        </w:r>
        <w:r w:rsidR="004D6DBB">
          <w:instrText>PAGE   \* MERGEFORMAT</w:instrText>
        </w:r>
        <w:r>
          <w:fldChar w:fldCharType="separate"/>
        </w:r>
        <w:r w:rsidR="004D6DBB" w:rsidRPr="004D6DBB">
          <w:rPr>
            <w:noProof/>
            <w:lang w:val="zh-CN"/>
          </w:rPr>
          <w:t>1</w:t>
        </w:r>
        <w:r>
          <w:fldChar w:fldCharType="end"/>
        </w:r>
      </w:p>
    </w:sdtContent>
  </w:sdt>
  <w:p w:rsidR="004018DD" w:rsidRDefault="004018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DD" w:rsidRDefault="004018DD" w:rsidP="004018DD">
      <w:r>
        <w:separator/>
      </w:r>
    </w:p>
  </w:footnote>
  <w:footnote w:type="continuationSeparator" w:id="0">
    <w:p w:rsidR="004018DD" w:rsidRDefault="004018DD" w:rsidP="00401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149B"/>
    <w:rsid w:val="00001760"/>
    <w:rsid w:val="00007059"/>
    <w:rsid w:val="00010044"/>
    <w:rsid w:val="00022ABD"/>
    <w:rsid w:val="00025D40"/>
    <w:rsid w:val="00026263"/>
    <w:rsid w:val="000300E5"/>
    <w:rsid w:val="0003246C"/>
    <w:rsid w:val="00033010"/>
    <w:rsid w:val="00033204"/>
    <w:rsid w:val="000475F0"/>
    <w:rsid w:val="00047CEB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203"/>
    <w:rsid w:val="001533B2"/>
    <w:rsid w:val="001605A7"/>
    <w:rsid w:val="001623CF"/>
    <w:rsid w:val="00165D5C"/>
    <w:rsid w:val="00166B15"/>
    <w:rsid w:val="00174C8C"/>
    <w:rsid w:val="0017571E"/>
    <w:rsid w:val="00175AED"/>
    <w:rsid w:val="00177645"/>
    <w:rsid w:val="00191702"/>
    <w:rsid w:val="00192262"/>
    <w:rsid w:val="001A37C4"/>
    <w:rsid w:val="001A593B"/>
    <w:rsid w:val="001D04AB"/>
    <w:rsid w:val="001D2521"/>
    <w:rsid w:val="001D74AE"/>
    <w:rsid w:val="001E7C25"/>
    <w:rsid w:val="001E7CAD"/>
    <w:rsid w:val="001F125D"/>
    <w:rsid w:val="001F15CB"/>
    <w:rsid w:val="001F533E"/>
    <w:rsid w:val="00203D97"/>
    <w:rsid w:val="0021172E"/>
    <w:rsid w:val="00221DE2"/>
    <w:rsid w:val="00234298"/>
    <w:rsid w:val="002461C0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F0C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18DD"/>
    <w:rsid w:val="00405ADB"/>
    <w:rsid w:val="00407F8A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7AB"/>
    <w:rsid w:val="00454978"/>
    <w:rsid w:val="00467E81"/>
    <w:rsid w:val="00473E03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6DBB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2A5E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694A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244"/>
    <w:rsid w:val="00714CEA"/>
    <w:rsid w:val="007159A1"/>
    <w:rsid w:val="0071642F"/>
    <w:rsid w:val="00722DD7"/>
    <w:rsid w:val="00724F2F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7A19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4206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6340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4EE8"/>
    <w:rsid w:val="00A0661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C25E0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6E3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2B27"/>
    <w:rsid w:val="00C64316"/>
    <w:rsid w:val="00C67F89"/>
    <w:rsid w:val="00C7050A"/>
    <w:rsid w:val="00C71F74"/>
    <w:rsid w:val="00C73CFC"/>
    <w:rsid w:val="00C7490E"/>
    <w:rsid w:val="00C75104"/>
    <w:rsid w:val="00C81CAD"/>
    <w:rsid w:val="00C84743"/>
    <w:rsid w:val="00C86E10"/>
    <w:rsid w:val="00C9160A"/>
    <w:rsid w:val="00C91D0F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42C"/>
    <w:rsid w:val="00E54C06"/>
    <w:rsid w:val="00E5664A"/>
    <w:rsid w:val="00E7407A"/>
    <w:rsid w:val="00E81A0A"/>
    <w:rsid w:val="00E964F7"/>
    <w:rsid w:val="00EA6F84"/>
    <w:rsid w:val="00EB7931"/>
    <w:rsid w:val="00EC79DE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9A620BC"/>
    <w:rsid w:val="1F3F4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018D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018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01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01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018D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018DD"/>
    <w:rPr>
      <w:b/>
      <w:bCs/>
    </w:rPr>
  </w:style>
  <w:style w:type="character" w:styleId="a9">
    <w:name w:val="Hyperlink"/>
    <w:basedOn w:val="a0"/>
    <w:uiPriority w:val="99"/>
    <w:unhideWhenUsed/>
    <w:qFormat/>
    <w:rsid w:val="004018D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018DD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018D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018D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018DD"/>
    <w:rPr>
      <w:sz w:val="18"/>
      <w:szCs w:val="18"/>
    </w:rPr>
  </w:style>
  <w:style w:type="paragraph" w:styleId="ac">
    <w:name w:val="List Paragraph"/>
    <w:basedOn w:val="a"/>
    <w:uiPriority w:val="34"/>
    <w:qFormat/>
    <w:rsid w:val="004018D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018D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018DD"/>
  </w:style>
  <w:style w:type="character" w:customStyle="1" w:styleId="Char4">
    <w:name w:val="批注主题 Char"/>
    <w:basedOn w:val="Char"/>
    <w:link w:val="a8"/>
    <w:uiPriority w:val="99"/>
    <w:semiHidden/>
    <w:qFormat/>
    <w:rsid w:val="004018D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018DD"/>
    <w:rPr>
      <w:sz w:val="18"/>
      <w:szCs w:val="18"/>
    </w:rPr>
  </w:style>
  <w:style w:type="character" w:customStyle="1" w:styleId="font21">
    <w:name w:val="font21"/>
    <w:basedOn w:val="a0"/>
    <w:qFormat/>
    <w:rsid w:val="004018D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4018DD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&#65289;&#25259;&#38706;&#65292;&#20379;&#25237;&#36164;&#32773;&#26597;&#3840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ACAA-497F-4950-BD92-E9353001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3730</Characters>
  <Application>Microsoft Office Word</Application>
  <DocSecurity>4</DocSecurity>
  <Lines>31</Lines>
  <Paragraphs>8</Paragraphs>
  <ScaleCrop>false</ScaleCrop>
  <Company>CNSTOCK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2019-09-23T09:13:00Z</cp:lastPrinted>
  <dcterms:created xsi:type="dcterms:W3CDTF">2025-06-25T16:02:00Z</dcterms:created>
  <dcterms:modified xsi:type="dcterms:W3CDTF">2025-06-25T16:02:00Z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CE0E6373ABC14BC3BBD8E4B67FD520A2</vt:lpwstr>
  </property>
</Properties>
</file>