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BC7" w:rsidRDefault="0051322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英大基金管理有限公司关于旗下部分开放式基金增加北京加和基金销售有限公司为销售机构的公告</w:t>
      </w:r>
    </w:p>
    <w:p w:rsidR="00B12BC7" w:rsidRDefault="00B12BC7">
      <w:pPr>
        <w:spacing w:line="560" w:lineRule="exact"/>
        <w:jc w:val="center"/>
        <w:rPr>
          <w:rFonts w:ascii="方正小标宋_GBK" w:eastAsia="方正小标宋_GBK" w:hAnsi="方正小标宋_GBK" w:cs="方正小标宋_GBK"/>
          <w:sz w:val="44"/>
          <w:szCs w:val="44"/>
        </w:rPr>
      </w:pPr>
    </w:p>
    <w:p w:rsidR="00B12BC7" w:rsidRDefault="005132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根据英大基金管理有限公司（以下简称“本公司”）与北京加和基金销售有限公司（以下简称“</w:t>
      </w:r>
      <w:r>
        <w:rPr>
          <w:rFonts w:ascii="方正仿宋_GBK" w:eastAsia="方正仿宋_GBK" w:hAnsi="方正仿宋_GBK" w:cs="方正仿宋_GBK" w:hint="eastAsia"/>
          <w:sz w:val="32"/>
          <w:szCs w:val="32"/>
        </w:rPr>
        <w:t>北京加和</w:t>
      </w:r>
      <w:r>
        <w:rPr>
          <w:rFonts w:ascii="方正仿宋_GBK" w:eastAsia="方正仿宋_GBK" w:hAnsi="方正仿宋_GBK" w:cs="方正仿宋_GBK" w:hint="eastAsia"/>
          <w:sz w:val="32"/>
          <w:szCs w:val="32"/>
        </w:rPr>
        <w:t>”）签署的基金销售代理协议及工作安排，自</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日起，本公司旗下部分基金增加北京加和为销售机构。</w:t>
      </w:r>
    </w:p>
    <w:p w:rsidR="00B12BC7" w:rsidRDefault="005132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Pr>
          <w:rFonts w:ascii="方正仿宋_GBK" w:eastAsia="方正仿宋_GBK" w:hAnsi="方正仿宋_GBK" w:cs="方正仿宋_GBK" w:hint="eastAsia"/>
          <w:sz w:val="32"/>
          <w:szCs w:val="32"/>
        </w:rPr>
        <w:t>北京加和</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申购等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w:t>
      </w:r>
      <w:r>
        <w:rPr>
          <w:rFonts w:ascii="方正仿宋_GBK" w:eastAsia="方正仿宋_GBK" w:hAnsi="方正仿宋_GBK" w:cs="方正仿宋_GBK" w:hint="eastAsia"/>
          <w:sz w:val="32"/>
          <w:szCs w:val="32"/>
        </w:rPr>
        <w:t>同时参与</w:t>
      </w:r>
      <w:r>
        <w:rPr>
          <w:rFonts w:ascii="方正仿宋_GBK" w:eastAsia="方正仿宋_GBK" w:hAnsi="方正仿宋_GBK" w:cs="方正仿宋_GBK" w:hint="eastAsia"/>
          <w:sz w:val="32"/>
          <w:szCs w:val="32"/>
        </w:rPr>
        <w:t>北京加和</w:t>
      </w:r>
      <w:r>
        <w:rPr>
          <w:rFonts w:ascii="方正仿宋_GBK" w:eastAsia="方正仿宋_GBK" w:hAnsi="方正仿宋_GBK" w:cs="方正仿宋_GBK" w:hint="eastAsia"/>
          <w:sz w:val="32"/>
          <w:szCs w:val="32"/>
        </w:rPr>
        <w:t>开展的基金申购费率优惠活动。</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B12BC7" w:rsidRDefault="0051322F">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一、销售机构主要信息</w:t>
      </w:r>
    </w:p>
    <w:p w:rsidR="00B12BC7" w:rsidRDefault="0051322F">
      <w:pPr>
        <w:overflowPunct w:val="0"/>
        <w:autoSpaceDE w:val="0"/>
        <w:autoSpaceDN w:val="0"/>
        <w:adjustRightInd w:val="0"/>
        <w:snapToGrid w:val="0"/>
        <w:spacing w:line="600" w:lineRule="exact"/>
        <w:ind w:firstLineChars="200" w:firstLine="640"/>
        <w:rPr>
          <w:rFonts w:ascii="方正楷体_GBK" w:eastAsia="方正楷体_GBK" w:hAnsi="黑体"/>
          <w:b/>
          <w:bCs/>
          <w:sz w:val="32"/>
          <w:szCs w:val="32"/>
        </w:rPr>
      </w:pPr>
      <w:r>
        <w:rPr>
          <w:rFonts w:ascii="方正仿宋_GBK" w:eastAsia="方正仿宋_GBK" w:hAnsi="方正仿宋_GBK" w:cs="方正仿宋_GBK" w:hint="eastAsia"/>
          <w:sz w:val="32"/>
          <w:szCs w:val="32"/>
        </w:rPr>
        <w:t>公司名称：北京加和基金销售有限公司</w:t>
      </w:r>
    </w:p>
    <w:p w:rsidR="00B12BC7" w:rsidRDefault="005132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4008201115</w:t>
      </w:r>
    </w:p>
    <w:p w:rsidR="00B12BC7" w:rsidRDefault="005132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www.</w:t>
      </w:r>
      <w:r>
        <w:rPr>
          <w:rFonts w:ascii="方正仿宋_GBK" w:eastAsia="方正仿宋_GBK" w:hAnsi="方正仿宋_GBK" w:cs="方正仿宋_GBK" w:hint="eastAsia"/>
          <w:sz w:val="32"/>
          <w:szCs w:val="32"/>
        </w:rPr>
        <w:t>jiahejijin</w:t>
      </w:r>
      <w:r>
        <w:rPr>
          <w:rFonts w:ascii="方正仿宋_GBK" w:eastAsia="方正仿宋_GBK" w:hAnsi="方正仿宋_GBK" w:cs="方正仿宋_GBK" w:hint="eastAsia"/>
          <w:sz w:val="32"/>
          <w:szCs w:val="32"/>
        </w:rPr>
        <w:t>.com</w:t>
      </w:r>
    </w:p>
    <w:p w:rsidR="00B12BC7" w:rsidRDefault="0051322F">
      <w:pPr>
        <w:numPr>
          <w:ilvl w:val="0"/>
          <w:numId w:val="1"/>
        </w:num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新增代理销售基金名称和代码</w:t>
      </w:r>
    </w:p>
    <w:p w:rsidR="00B12BC7" w:rsidRDefault="00B12BC7">
      <w:pPr>
        <w:overflowPunct w:val="0"/>
        <w:autoSpaceDE w:val="0"/>
        <w:autoSpaceDN w:val="0"/>
        <w:adjustRightInd w:val="0"/>
        <w:snapToGrid w:val="0"/>
        <w:spacing w:line="560" w:lineRule="exact"/>
        <w:rPr>
          <w:rFonts w:ascii="方正黑体_GBK" w:eastAsia="方正黑体_GBK" w:hAnsi="楷体"/>
          <w:color w:val="000000"/>
          <w:kern w:val="0"/>
          <w:sz w:val="32"/>
          <w:szCs w:val="32"/>
        </w:rPr>
      </w:pPr>
    </w:p>
    <w:tbl>
      <w:tblPr>
        <w:tblW w:w="8625" w:type="dxa"/>
        <w:jc w:val="center"/>
        <w:tblLayout w:type="fixed"/>
        <w:tblLook w:val="04A0"/>
      </w:tblPr>
      <w:tblGrid>
        <w:gridCol w:w="4313"/>
        <w:gridCol w:w="2737"/>
        <w:gridCol w:w="1575"/>
      </w:tblGrid>
      <w:tr w:rsidR="00B12BC7">
        <w:trPr>
          <w:trHeight w:val="403"/>
          <w:jc w:val="center"/>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B12BC7">
        <w:trPr>
          <w:trHeight w:val="43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B12BC7">
        <w:trPr>
          <w:trHeight w:val="466"/>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B12BC7">
        <w:trPr>
          <w:trHeight w:val="440"/>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014511</w:t>
            </w:r>
          </w:p>
        </w:tc>
      </w:tr>
      <w:tr w:rsidR="00B12BC7">
        <w:trPr>
          <w:trHeight w:val="46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014512</w:t>
            </w:r>
          </w:p>
        </w:tc>
      </w:tr>
      <w:tr w:rsidR="00B12BC7">
        <w:trPr>
          <w:trHeight w:val="46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英大安益中短债债券型证券投资</w:t>
            </w:r>
            <w:r>
              <w:rPr>
                <w:rFonts w:ascii="方正仿宋_GBK" w:eastAsia="方正仿宋_GBK" w:hAnsi="方正仿宋_GBK" w:cs="方正仿宋_GBK" w:hint="eastAsia"/>
                <w:sz w:val="28"/>
                <w:szCs w:val="28"/>
              </w:rPr>
              <w:lastRenderedPageBreak/>
              <w:t>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英大安益中短债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015274</w:t>
            </w:r>
          </w:p>
        </w:tc>
      </w:tr>
      <w:tr w:rsidR="00B12BC7">
        <w:trPr>
          <w:trHeight w:val="49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015275</w:t>
            </w:r>
          </w:p>
        </w:tc>
      </w:tr>
      <w:tr w:rsidR="00B12BC7">
        <w:trPr>
          <w:trHeight w:val="479"/>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650001</w:t>
            </w:r>
          </w:p>
        </w:tc>
      </w:tr>
      <w:tr w:rsidR="00B12BC7">
        <w:trPr>
          <w:trHeight w:val="479"/>
          <w:jc w:val="center"/>
        </w:trPr>
        <w:tc>
          <w:tcPr>
            <w:tcW w:w="4313" w:type="dxa"/>
            <w:vMerge/>
            <w:tcBorders>
              <w:left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650002</w:t>
            </w:r>
          </w:p>
        </w:tc>
      </w:tr>
      <w:tr w:rsidR="00B12BC7">
        <w:trPr>
          <w:trHeight w:val="479"/>
          <w:jc w:val="center"/>
        </w:trPr>
        <w:tc>
          <w:tcPr>
            <w:tcW w:w="4313" w:type="dxa"/>
            <w:vMerge/>
            <w:tcBorders>
              <w:left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013587</w:t>
            </w:r>
          </w:p>
        </w:tc>
      </w:tr>
      <w:tr w:rsidR="00B12BC7">
        <w:trPr>
          <w:trHeight w:val="517"/>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008242</w:t>
            </w:r>
          </w:p>
        </w:tc>
      </w:tr>
      <w:tr w:rsidR="00B12BC7">
        <w:trPr>
          <w:trHeight w:val="517"/>
          <w:jc w:val="center"/>
        </w:trPr>
        <w:tc>
          <w:tcPr>
            <w:tcW w:w="4313" w:type="dxa"/>
            <w:vMerge/>
            <w:tcBorders>
              <w:left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008243</w:t>
            </w:r>
          </w:p>
        </w:tc>
      </w:tr>
      <w:tr w:rsidR="00B12BC7">
        <w:trPr>
          <w:trHeight w:val="18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012381</w:t>
            </w:r>
          </w:p>
        </w:tc>
      </w:tr>
      <w:tr w:rsidR="00B12BC7">
        <w:trPr>
          <w:trHeight w:val="304"/>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009298</w:t>
            </w:r>
          </w:p>
        </w:tc>
      </w:tr>
      <w:tr w:rsidR="00B12BC7">
        <w:trPr>
          <w:trHeight w:val="304"/>
          <w:jc w:val="center"/>
        </w:trPr>
        <w:tc>
          <w:tcPr>
            <w:tcW w:w="4313" w:type="dxa"/>
            <w:vMerge/>
            <w:tcBorders>
              <w:left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009299</w:t>
            </w:r>
          </w:p>
        </w:tc>
      </w:tr>
      <w:tr w:rsidR="00B12BC7">
        <w:trPr>
          <w:trHeight w:val="458"/>
          <w:jc w:val="center"/>
        </w:trPr>
        <w:tc>
          <w:tcPr>
            <w:tcW w:w="4313" w:type="dxa"/>
            <w:vMerge/>
            <w:tcBorders>
              <w:left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013543</w:t>
            </w:r>
          </w:p>
        </w:tc>
      </w:tr>
      <w:tr w:rsidR="00B12BC7">
        <w:trPr>
          <w:trHeight w:val="503"/>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009770</w:t>
            </w:r>
          </w:p>
        </w:tc>
      </w:tr>
      <w:tr w:rsidR="00B12BC7">
        <w:trPr>
          <w:trHeight w:val="504"/>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001270</w:t>
            </w:r>
          </w:p>
        </w:tc>
      </w:tr>
      <w:tr w:rsidR="00B12BC7">
        <w:trPr>
          <w:trHeight w:val="519"/>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001271</w:t>
            </w:r>
          </w:p>
        </w:tc>
      </w:tr>
      <w:tr w:rsidR="00B12BC7">
        <w:trPr>
          <w:trHeight w:val="582"/>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B12BC7">
        <w:trPr>
          <w:trHeight w:val="582"/>
          <w:jc w:val="center"/>
        </w:trPr>
        <w:tc>
          <w:tcPr>
            <w:tcW w:w="4313" w:type="dxa"/>
            <w:vMerge/>
            <w:tcBorders>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022868</w:t>
            </w:r>
          </w:p>
        </w:tc>
      </w:tr>
      <w:tr w:rsidR="00B12BC7">
        <w:trPr>
          <w:trHeight w:val="542"/>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B12BC7">
        <w:trPr>
          <w:trHeight w:val="54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B12BC7">
        <w:trPr>
          <w:trHeight w:val="766"/>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B12BC7">
        <w:trPr>
          <w:trHeight w:val="364"/>
          <w:jc w:val="center"/>
        </w:trPr>
        <w:tc>
          <w:tcPr>
            <w:tcW w:w="4313" w:type="dxa"/>
            <w:vMerge/>
            <w:tcBorders>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003714</w:t>
            </w:r>
          </w:p>
        </w:tc>
      </w:tr>
      <w:tr w:rsidR="00B12BC7">
        <w:trPr>
          <w:trHeight w:val="494"/>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003446</w:t>
            </w:r>
          </w:p>
        </w:tc>
      </w:tr>
      <w:tr w:rsidR="00B12BC7">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003447</w:t>
            </w:r>
          </w:p>
        </w:tc>
      </w:tr>
      <w:tr w:rsidR="00B12BC7">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B12BC7">
        <w:trPr>
          <w:trHeight w:val="448"/>
          <w:jc w:val="center"/>
        </w:trPr>
        <w:tc>
          <w:tcPr>
            <w:tcW w:w="4313" w:type="dxa"/>
            <w:vMerge/>
            <w:tcBorders>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B12BC7">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英大智享债券型证券投资基金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010174</w:t>
            </w:r>
          </w:p>
        </w:tc>
      </w:tr>
      <w:tr w:rsidR="00B12BC7">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010175</w:t>
            </w:r>
          </w:p>
        </w:tc>
      </w:tr>
      <w:tr w:rsidR="00B12BC7">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英大稳固增强核心一年持有期混合型证券投资基金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012521</w:t>
            </w:r>
          </w:p>
        </w:tc>
      </w:tr>
      <w:tr w:rsidR="00B12BC7">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012522</w:t>
            </w:r>
          </w:p>
        </w:tc>
      </w:tr>
      <w:tr w:rsidR="00B12BC7">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000458</w:t>
            </w:r>
          </w:p>
        </w:tc>
      </w:tr>
      <w:tr w:rsidR="00B12BC7">
        <w:trPr>
          <w:trHeight w:val="448"/>
          <w:jc w:val="center"/>
        </w:trPr>
        <w:tc>
          <w:tcPr>
            <w:tcW w:w="4313" w:type="dxa"/>
            <w:vMerge/>
            <w:tcBorders>
              <w:left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w:t>
            </w:r>
            <w:r>
              <w:rPr>
                <w:rFonts w:ascii="方正仿宋_GBK" w:eastAsia="方正仿宋_GBK" w:hAnsi="方正仿宋_GBK" w:cs="方正仿宋_GBK" w:hint="eastAsia"/>
                <w:sz w:val="28"/>
                <w:szCs w:val="28"/>
              </w:rPr>
              <w:t>9</w:t>
            </w:r>
          </w:p>
        </w:tc>
      </w:tr>
      <w:tr w:rsidR="00B12BC7">
        <w:trPr>
          <w:trHeight w:val="448"/>
          <w:jc w:val="center"/>
        </w:trPr>
        <w:tc>
          <w:tcPr>
            <w:tcW w:w="4313" w:type="dxa"/>
            <w:vMerge/>
            <w:tcBorders>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022901</w:t>
            </w:r>
          </w:p>
        </w:tc>
      </w:tr>
      <w:tr w:rsidR="00B12BC7">
        <w:trPr>
          <w:trHeight w:val="448"/>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B12BC7">
        <w:trPr>
          <w:trHeight w:val="601"/>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017440</w:t>
            </w:r>
          </w:p>
        </w:tc>
      </w:tr>
      <w:tr w:rsidR="00B12BC7">
        <w:trPr>
          <w:trHeight w:val="539"/>
          <w:jc w:val="center"/>
        </w:trPr>
        <w:tc>
          <w:tcPr>
            <w:tcW w:w="4313" w:type="dxa"/>
            <w:vMerge/>
            <w:tcBorders>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017441</w:t>
            </w:r>
          </w:p>
        </w:tc>
      </w:tr>
      <w:tr w:rsidR="00B12BC7">
        <w:trPr>
          <w:trHeight w:val="359"/>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B12BC7">
        <w:trPr>
          <w:trHeight w:val="28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B12BC7">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015620</w:t>
            </w:r>
          </w:p>
        </w:tc>
      </w:tr>
      <w:tr w:rsidR="00B12BC7">
        <w:trPr>
          <w:trHeight w:val="285"/>
          <w:jc w:val="center"/>
        </w:trPr>
        <w:tc>
          <w:tcPr>
            <w:tcW w:w="4313" w:type="dxa"/>
            <w:vMerge/>
            <w:tcBorders>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015621</w:t>
            </w:r>
          </w:p>
        </w:tc>
      </w:tr>
      <w:tr w:rsidR="00B12BC7">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adjustRightInd w:val="0"/>
              <w:snapToGrid w:val="0"/>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020050</w:t>
            </w:r>
          </w:p>
        </w:tc>
      </w:tr>
      <w:tr w:rsidR="00B12BC7">
        <w:trPr>
          <w:trHeight w:val="285"/>
          <w:jc w:val="center"/>
        </w:trPr>
        <w:tc>
          <w:tcPr>
            <w:tcW w:w="4313" w:type="dxa"/>
            <w:vMerge/>
            <w:tcBorders>
              <w:left w:val="single" w:sz="4" w:space="0" w:color="auto"/>
              <w:bottom w:val="single" w:sz="4" w:space="0" w:color="auto"/>
              <w:right w:val="single" w:sz="4" w:space="0" w:color="auto"/>
            </w:tcBorders>
            <w:noWrap/>
            <w:vAlign w:val="center"/>
          </w:tcPr>
          <w:p w:rsidR="00B12BC7" w:rsidRDefault="00B12BC7">
            <w:pPr>
              <w:adjustRightInd w:val="0"/>
              <w:snapToGrid w:val="0"/>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020051</w:t>
            </w:r>
          </w:p>
        </w:tc>
      </w:tr>
      <w:tr w:rsidR="00B12BC7">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012352</w:t>
            </w:r>
          </w:p>
        </w:tc>
      </w:tr>
      <w:tr w:rsidR="00B12BC7">
        <w:trPr>
          <w:trHeight w:val="285"/>
          <w:jc w:val="center"/>
        </w:trPr>
        <w:tc>
          <w:tcPr>
            <w:tcW w:w="4313" w:type="dxa"/>
            <w:vMerge/>
            <w:tcBorders>
              <w:left w:val="single" w:sz="4" w:space="0" w:color="auto"/>
              <w:bottom w:val="single" w:sz="4" w:space="0" w:color="auto"/>
              <w:right w:val="single" w:sz="4" w:space="0" w:color="auto"/>
            </w:tcBorders>
            <w:noWrap/>
            <w:vAlign w:val="center"/>
          </w:tcPr>
          <w:p w:rsidR="00B12BC7" w:rsidRDefault="00B12BC7">
            <w:pPr>
              <w:widowControl/>
              <w:adjustRightInd w:val="0"/>
              <w:snapToGrid w:val="0"/>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012353</w:t>
            </w:r>
          </w:p>
        </w:tc>
      </w:tr>
      <w:tr w:rsidR="00B12BC7">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英大通佑纯债一年定期开放债券型证券投资基金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英大通佑一年定开债券</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016296</w:t>
            </w:r>
          </w:p>
        </w:tc>
      </w:tr>
      <w:tr w:rsidR="00B12BC7">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年期政策性金融债指数证券投资基金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政策性金融债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020844</w:t>
            </w:r>
          </w:p>
        </w:tc>
      </w:tr>
      <w:tr w:rsidR="00B12BC7">
        <w:trPr>
          <w:trHeight w:val="285"/>
          <w:jc w:val="center"/>
        </w:trPr>
        <w:tc>
          <w:tcPr>
            <w:tcW w:w="4313" w:type="dxa"/>
            <w:vMerge/>
            <w:tcBorders>
              <w:left w:val="single" w:sz="4" w:space="0" w:color="auto"/>
              <w:bottom w:val="single" w:sz="4" w:space="0" w:color="auto"/>
              <w:right w:val="single" w:sz="4" w:space="0" w:color="auto"/>
            </w:tcBorders>
            <w:noWrap/>
            <w:vAlign w:val="center"/>
          </w:tcPr>
          <w:p w:rsidR="00B12BC7" w:rsidRDefault="00B12BC7">
            <w:pPr>
              <w:widowControl/>
              <w:adjustRightInd w:val="0"/>
              <w:snapToGrid w:val="0"/>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政策性金融债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B12BC7" w:rsidRDefault="0051322F">
            <w:pPr>
              <w:widowControl/>
              <w:adjustRightInd w:val="0"/>
              <w:snapToGrid w:val="0"/>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020845</w:t>
            </w:r>
          </w:p>
        </w:tc>
      </w:tr>
    </w:tbl>
    <w:p w:rsidR="00B12BC7" w:rsidRDefault="0051322F">
      <w:pPr>
        <w:overflowPunct w:val="0"/>
        <w:autoSpaceDE w:val="0"/>
        <w:autoSpaceDN w:val="0"/>
        <w:adjustRightInd w:val="0"/>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英大通佑一年定开债券处于封闭期，暂不办理申购（含转换转入）等业务；英大安惠纯债</w:t>
      </w:r>
      <w:r>
        <w:rPr>
          <w:rFonts w:ascii="方正仿宋_GBK" w:eastAsia="方正仿宋_GBK" w:hAnsi="方正仿宋_GBK" w:cs="方正仿宋_GBK" w:hint="eastAsia"/>
          <w:sz w:val="28"/>
          <w:szCs w:val="28"/>
        </w:rPr>
        <w:t>A</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C</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E</w:t>
      </w:r>
      <w:r>
        <w:rPr>
          <w:rFonts w:ascii="方正仿宋_GBK" w:eastAsia="方正仿宋_GBK" w:hAnsi="方正仿宋_GBK" w:cs="方正仿宋_GBK" w:hint="eastAsia"/>
          <w:sz w:val="28"/>
          <w:szCs w:val="28"/>
        </w:rPr>
        <w:t>类份额暂不向个人投资者销售；开放相关业务的具体时间基金管理人将另行公告。</w:t>
      </w:r>
    </w:p>
    <w:p w:rsidR="00B12BC7" w:rsidRDefault="0051322F">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B12BC7" w:rsidRDefault="005132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B12BC7" w:rsidRDefault="005132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B12BC7" w:rsidRDefault="0051322F">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6" w:history="1">
        <w:r>
          <w:rPr>
            <w:rStyle w:val="a8"/>
            <w:rFonts w:ascii="方正仿宋_GBK" w:eastAsia="方正仿宋_GBK" w:hAnsi="方正仿宋_GBK" w:cs="方正仿宋_GBK" w:hint="eastAsia"/>
            <w:sz w:val="32"/>
            <w:szCs w:val="32"/>
          </w:rPr>
          <w:t>www.ydamc.com</w:t>
        </w:r>
      </w:hyperlink>
    </w:p>
    <w:p w:rsidR="00B12BC7" w:rsidRDefault="0051322F">
      <w:pPr>
        <w:widowControl/>
        <w:overflowPunct w:val="0"/>
        <w:autoSpaceDE w:val="0"/>
        <w:autoSpaceDN w:val="0"/>
        <w:adjustRightInd w:val="0"/>
        <w:snapToGrid w:val="0"/>
        <w:spacing w:line="560" w:lineRule="exact"/>
        <w:ind w:firstLineChars="200" w:firstLine="640"/>
        <w:jc w:val="left"/>
        <w:rPr>
          <w:rFonts w:ascii="黑体" w:eastAsia="黑体" w:hAnsi="黑体" w:cs="Times New Roman"/>
          <w:kern w:val="0"/>
          <w:sz w:val="32"/>
          <w:szCs w:val="32"/>
        </w:rPr>
      </w:pPr>
      <w:r>
        <w:rPr>
          <w:rFonts w:ascii="黑体" w:eastAsia="黑体" w:hAnsi="黑体" w:cs="Times New Roman" w:hint="eastAsia"/>
          <w:kern w:val="0"/>
          <w:sz w:val="32"/>
          <w:szCs w:val="32"/>
        </w:rPr>
        <w:t>四</w:t>
      </w:r>
      <w:r>
        <w:rPr>
          <w:rFonts w:ascii="黑体" w:eastAsia="黑体" w:hAnsi="黑体" w:cs="Times New Roman" w:hint="eastAsia"/>
          <w:kern w:val="0"/>
          <w:sz w:val="32"/>
          <w:szCs w:val="32"/>
        </w:rPr>
        <w:t>、定期定额投资业务提示</w:t>
      </w:r>
    </w:p>
    <w:p w:rsidR="00B12BC7" w:rsidRDefault="0051322F">
      <w:pPr>
        <w:widowControl/>
        <w:overflowPunct w:val="0"/>
        <w:autoSpaceDE w:val="0"/>
        <w:autoSpaceDN w:val="0"/>
        <w:adjustRightInd w:val="0"/>
        <w:snapToGrid w:val="0"/>
        <w:spacing w:line="560" w:lineRule="exact"/>
        <w:ind w:firstLineChars="200" w:firstLine="640"/>
        <w:jc w:val="left"/>
        <w:rPr>
          <w:rFonts w:ascii="方正仿宋_GBK" w:eastAsia="方正仿宋_GBK" w:hAnsi="Times New Roman" w:cs="Times New Roman"/>
          <w:kern w:val="0"/>
          <w:sz w:val="32"/>
          <w:szCs w:val="32"/>
        </w:rPr>
      </w:pPr>
      <w:r>
        <w:rPr>
          <w:rFonts w:ascii="方正仿宋_GBK" w:eastAsia="方正仿宋_GBK" w:hAnsi="Times New Roman" w:cs="Times New Roman" w:hint="eastAsia"/>
          <w:kern w:val="0"/>
          <w:sz w:val="32"/>
          <w:szCs w:val="32"/>
        </w:rPr>
        <w:t>1</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投资者通过</w:t>
      </w:r>
      <w:r>
        <w:rPr>
          <w:rFonts w:ascii="方正仿宋_GBK" w:eastAsia="方正仿宋_GBK" w:hAnsi="宋体" w:cs="Times New Roman" w:hint="eastAsia"/>
          <w:kern w:val="0"/>
          <w:sz w:val="32"/>
          <w:szCs w:val="32"/>
        </w:rPr>
        <w:t>北京加和</w:t>
      </w:r>
      <w:r>
        <w:rPr>
          <w:rFonts w:ascii="方正仿宋_GBK" w:eastAsia="方正仿宋_GBK" w:hAnsi="宋体" w:cs="Times New Roman" w:hint="eastAsia"/>
          <w:kern w:val="0"/>
          <w:sz w:val="32"/>
          <w:szCs w:val="32"/>
        </w:rPr>
        <w:t>办理基金定期定额投资业务，应遵循</w:t>
      </w:r>
      <w:r>
        <w:rPr>
          <w:rFonts w:ascii="方正仿宋_GBK" w:eastAsia="方正仿宋_GBK" w:hAnsi="宋体" w:cs="Times New Roman" w:hint="eastAsia"/>
          <w:kern w:val="0"/>
          <w:sz w:val="32"/>
          <w:szCs w:val="32"/>
        </w:rPr>
        <w:t>北京加和</w:t>
      </w:r>
      <w:r>
        <w:rPr>
          <w:rFonts w:ascii="方正仿宋_GBK" w:eastAsia="方正仿宋_GBK" w:hAnsi="宋体" w:cs="Times New Roman" w:hint="eastAsia"/>
          <w:kern w:val="0"/>
          <w:sz w:val="32"/>
          <w:szCs w:val="32"/>
        </w:rPr>
        <w:t>的具体规定</w:t>
      </w:r>
      <w:r>
        <w:rPr>
          <w:rFonts w:ascii="方正仿宋_GBK" w:eastAsia="方正仿宋_GBK" w:hAnsi="Times New Roman" w:cs="Times New Roman" w:hint="eastAsia"/>
          <w:kern w:val="0"/>
          <w:sz w:val="32"/>
          <w:szCs w:val="32"/>
        </w:rPr>
        <w:t>。</w:t>
      </w:r>
    </w:p>
    <w:p w:rsidR="00B12BC7" w:rsidRDefault="0051322F">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Times New Roman" w:cs="Times New Roman" w:hint="eastAsia"/>
          <w:kern w:val="0"/>
          <w:sz w:val="32"/>
          <w:szCs w:val="32"/>
        </w:rPr>
        <w:t>2</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B12BC7" w:rsidRDefault="0051322F">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五</w:t>
      </w:r>
      <w:r>
        <w:rPr>
          <w:rFonts w:ascii="方正黑体_GBK" w:eastAsia="方正黑体_GBK" w:hAnsi="楷体" w:hint="eastAsia"/>
          <w:color w:val="000000"/>
          <w:kern w:val="0"/>
          <w:sz w:val="32"/>
          <w:szCs w:val="32"/>
        </w:rPr>
        <w:t>、费率优惠活动</w:t>
      </w:r>
    </w:p>
    <w:p w:rsidR="00B12BC7" w:rsidRDefault="005132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本公告发布之日起，投资者通过北京加和申购（含定期定额申购、转入等业务）本公告中“二、新增代理销售基金名称和代码”中所列的基金（仅限前端收费模式），均可参加北京加和开展的费率优惠活动，具体折扣费率以及费率优惠期限以北京加和公示为准。各基金原费率请详见基金合同、招募说明书（更新）等法律文件，以及本公司发布的最新业务公告。</w:t>
      </w:r>
    </w:p>
    <w:p w:rsidR="00B12BC7" w:rsidRDefault="0051322F">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六</w:t>
      </w:r>
      <w:r>
        <w:rPr>
          <w:rFonts w:ascii="方正黑体_GBK" w:eastAsia="方正黑体_GBK" w:hAnsi="黑体" w:hint="eastAsia"/>
          <w:sz w:val="32"/>
          <w:szCs w:val="32"/>
        </w:rPr>
        <w:t>、风险提示</w:t>
      </w:r>
    </w:p>
    <w:p w:rsidR="00B12BC7" w:rsidRDefault="005132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本公司承诺以诚实信用、勤勉尽责的原则管理和运用基金资产，但不保证基金一定盈利，也不保证最低收益。购买货币市场基金并不等于将资金作为存款存放在银行或者存款类金融机构。</w:t>
      </w:r>
      <w:bookmarkStart w:id="0" w:name="_GoBack"/>
      <w:bookmarkEnd w:id="0"/>
      <w:r>
        <w:rPr>
          <w:rFonts w:ascii="方正仿宋_GBK" w:eastAsia="方正仿宋_GBK" w:hAnsi="方正仿宋_GBK" w:cs="方正仿宋_GBK" w:hint="eastAsia"/>
          <w:sz w:val="32"/>
          <w:szCs w:val="32"/>
        </w:rPr>
        <w:t>敬请投资人注</w:t>
      </w:r>
      <w:r>
        <w:rPr>
          <w:rFonts w:ascii="方正仿宋_GBK" w:eastAsia="方正仿宋_GBK" w:hAnsi="方正仿宋_GBK" w:cs="方正仿宋_GBK" w:hint="eastAsia"/>
          <w:sz w:val="32"/>
          <w:szCs w:val="32"/>
        </w:rPr>
        <w:t>意投资风险。投资者投资于上述基金前应认真阅读基金的基金合同、招募说明书（更新）等法律文件，了解所投资基金的风险收益特征，并根据自身情况购买与本人风险承受能力相匹配的产品。</w:t>
      </w:r>
    </w:p>
    <w:p w:rsidR="00B12BC7" w:rsidRDefault="0051322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B12BC7" w:rsidRDefault="00B12BC7">
      <w:pPr>
        <w:spacing w:line="560" w:lineRule="exact"/>
        <w:ind w:firstLineChars="200" w:firstLine="640"/>
        <w:rPr>
          <w:rFonts w:ascii="方正仿宋_GBK" w:eastAsia="方正仿宋_GBK" w:hAnsi="方正仿宋_GBK" w:cs="方正仿宋_GBK"/>
          <w:sz w:val="32"/>
          <w:szCs w:val="32"/>
        </w:rPr>
      </w:pPr>
    </w:p>
    <w:p w:rsidR="00B12BC7" w:rsidRDefault="00B12BC7">
      <w:pPr>
        <w:spacing w:line="560" w:lineRule="exact"/>
        <w:ind w:firstLineChars="200" w:firstLine="640"/>
        <w:rPr>
          <w:rFonts w:ascii="方正仿宋_GBK" w:eastAsia="方正仿宋_GBK" w:hAnsi="方正仿宋_GBK" w:cs="方正仿宋_GBK"/>
          <w:sz w:val="32"/>
          <w:szCs w:val="32"/>
        </w:rPr>
      </w:pPr>
    </w:p>
    <w:p w:rsidR="00B12BC7" w:rsidRDefault="0051322F">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B12BC7" w:rsidRDefault="0051322F">
      <w:pPr>
        <w:spacing w:line="560" w:lineRule="exact"/>
        <w:ind w:firstLineChars="200" w:firstLine="640"/>
        <w:jc w:val="right"/>
      </w:pP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26</w:t>
      </w:r>
      <w:r>
        <w:rPr>
          <w:rFonts w:ascii="方正仿宋_GBK" w:eastAsia="方正仿宋_GBK" w:hAnsi="方正仿宋_GBK" w:cs="方正仿宋_GBK" w:hint="eastAsia"/>
          <w:sz w:val="32"/>
          <w:szCs w:val="32"/>
        </w:rPr>
        <w:t>日</w:t>
      </w:r>
    </w:p>
    <w:sectPr w:rsidR="00B12BC7" w:rsidSect="00B12B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楷体">
    <w:charset w:val="86"/>
    <w:family w:val="modern"/>
    <w:pitch w:val="default"/>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F04D48"/>
    <w:rsid w:val="FFAF88F2"/>
    <w:rsid w:val="000A60E3"/>
    <w:rsid w:val="0051322F"/>
    <w:rsid w:val="0077324E"/>
    <w:rsid w:val="00B12BC7"/>
    <w:rsid w:val="01386A5E"/>
    <w:rsid w:val="020B7376"/>
    <w:rsid w:val="03135572"/>
    <w:rsid w:val="060B18AE"/>
    <w:rsid w:val="07D0426E"/>
    <w:rsid w:val="07E1473E"/>
    <w:rsid w:val="09326688"/>
    <w:rsid w:val="0E1F08FE"/>
    <w:rsid w:val="128533A0"/>
    <w:rsid w:val="13F77DCB"/>
    <w:rsid w:val="14F408DA"/>
    <w:rsid w:val="183072FC"/>
    <w:rsid w:val="18530F30"/>
    <w:rsid w:val="1A494132"/>
    <w:rsid w:val="1C5D29C2"/>
    <w:rsid w:val="1CFB69C9"/>
    <w:rsid w:val="1DE72004"/>
    <w:rsid w:val="1F215A01"/>
    <w:rsid w:val="1F433457"/>
    <w:rsid w:val="204D48C2"/>
    <w:rsid w:val="21120914"/>
    <w:rsid w:val="246434F2"/>
    <w:rsid w:val="251E3CD5"/>
    <w:rsid w:val="27245D4D"/>
    <w:rsid w:val="282E5523"/>
    <w:rsid w:val="2A876994"/>
    <w:rsid w:val="2B082B73"/>
    <w:rsid w:val="2BC164EA"/>
    <w:rsid w:val="2CF04D48"/>
    <w:rsid w:val="2E930825"/>
    <w:rsid w:val="31A3162C"/>
    <w:rsid w:val="370B1671"/>
    <w:rsid w:val="39234B05"/>
    <w:rsid w:val="39584316"/>
    <w:rsid w:val="3DA367F3"/>
    <w:rsid w:val="3E1531D4"/>
    <w:rsid w:val="3EDE3E81"/>
    <w:rsid w:val="3F1828C4"/>
    <w:rsid w:val="436D1BE5"/>
    <w:rsid w:val="439C5EF8"/>
    <w:rsid w:val="449A0D77"/>
    <w:rsid w:val="46875774"/>
    <w:rsid w:val="477C3791"/>
    <w:rsid w:val="479F49CB"/>
    <w:rsid w:val="4A882795"/>
    <w:rsid w:val="51296862"/>
    <w:rsid w:val="52E44C9D"/>
    <w:rsid w:val="53701325"/>
    <w:rsid w:val="54AE0E5F"/>
    <w:rsid w:val="55156DE8"/>
    <w:rsid w:val="571649AF"/>
    <w:rsid w:val="586C2BE3"/>
    <w:rsid w:val="5A08538D"/>
    <w:rsid w:val="5C191D15"/>
    <w:rsid w:val="5CFA3992"/>
    <w:rsid w:val="5D8E6006"/>
    <w:rsid w:val="5FBF4BE6"/>
    <w:rsid w:val="60BA6540"/>
    <w:rsid w:val="61AD7904"/>
    <w:rsid w:val="63916383"/>
    <w:rsid w:val="655004B4"/>
    <w:rsid w:val="65EB00C0"/>
    <w:rsid w:val="66E61D3A"/>
    <w:rsid w:val="678A1B3C"/>
    <w:rsid w:val="689A0C9D"/>
    <w:rsid w:val="69631D80"/>
    <w:rsid w:val="6C0A4F9D"/>
    <w:rsid w:val="6CFA4DF6"/>
    <w:rsid w:val="73717CE0"/>
    <w:rsid w:val="768E3D6A"/>
    <w:rsid w:val="785A50DF"/>
    <w:rsid w:val="787316E0"/>
    <w:rsid w:val="79712A4F"/>
    <w:rsid w:val="7A0A512D"/>
    <w:rsid w:val="7BEF195B"/>
    <w:rsid w:val="7C87171D"/>
    <w:rsid w:val="7D655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BC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12BC7"/>
    <w:pPr>
      <w:jc w:val="left"/>
    </w:pPr>
  </w:style>
  <w:style w:type="paragraph" w:styleId="a4">
    <w:name w:val="Balloon Text"/>
    <w:basedOn w:val="a"/>
    <w:link w:val="Char0"/>
    <w:qFormat/>
    <w:rsid w:val="00B12BC7"/>
    <w:rPr>
      <w:sz w:val="18"/>
      <w:szCs w:val="18"/>
    </w:rPr>
  </w:style>
  <w:style w:type="paragraph" w:styleId="a5">
    <w:name w:val="Title"/>
    <w:basedOn w:val="a"/>
    <w:next w:val="a"/>
    <w:link w:val="Char1"/>
    <w:qFormat/>
    <w:rsid w:val="00B12BC7"/>
    <w:pPr>
      <w:spacing w:before="240" w:after="60"/>
      <w:jc w:val="center"/>
      <w:outlineLvl w:val="0"/>
    </w:pPr>
    <w:rPr>
      <w:rFonts w:ascii="Cambria" w:eastAsia="宋体" w:hAnsi="Cambria" w:cs="Times New Roman"/>
      <w:b/>
      <w:sz w:val="32"/>
      <w:szCs w:val="32"/>
    </w:rPr>
  </w:style>
  <w:style w:type="paragraph" w:styleId="a6">
    <w:name w:val="annotation subject"/>
    <w:basedOn w:val="a3"/>
    <w:next w:val="a3"/>
    <w:link w:val="Char2"/>
    <w:qFormat/>
    <w:rsid w:val="00B12BC7"/>
    <w:rPr>
      <w:b/>
      <w:bCs/>
    </w:rPr>
  </w:style>
  <w:style w:type="table" w:styleId="a7">
    <w:name w:val="Table Grid"/>
    <w:basedOn w:val="a1"/>
    <w:qFormat/>
    <w:rsid w:val="00B12B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8">
    <w:name w:val="Hyperlink"/>
    <w:basedOn w:val="a0"/>
    <w:qFormat/>
    <w:rsid w:val="00B12BC7"/>
    <w:rPr>
      <w:color w:val="0000FF"/>
      <w:u w:val="single"/>
    </w:rPr>
  </w:style>
  <w:style w:type="character" w:styleId="a9">
    <w:name w:val="annotation reference"/>
    <w:basedOn w:val="a0"/>
    <w:qFormat/>
    <w:rsid w:val="00B12BC7"/>
    <w:rPr>
      <w:sz w:val="21"/>
      <w:szCs w:val="21"/>
    </w:rPr>
  </w:style>
  <w:style w:type="paragraph" w:customStyle="1" w:styleId="msolistparagraph0">
    <w:name w:val="msolistparagraph"/>
    <w:basedOn w:val="a"/>
    <w:qFormat/>
    <w:rsid w:val="00B12BC7"/>
    <w:pPr>
      <w:ind w:firstLineChars="200" w:firstLine="420"/>
    </w:pPr>
    <w:rPr>
      <w:rFonts w:ascii="Calibri" w:eastAsia="宋体" w:hAnsi="Calibri" w:cs="Times New Roman"/>
      <w:szCs w:val="22"/>
    </w:rPr>
  </w:style>
  <w:style w:type="character" w:customStyle="1" w:styleId="Char1">
    <w:name w:val="标题 Char"/>
    <w:basedOn w:val="a0"/>
    <w:link w:val="a5"/>
    <w:qFormat/>
    <w:rsid w:val="00B12BC7"/>
    <w:rPr>
      <w:rFonts w:ascii="Cambria" w:eastAsia="Cambria" w:hAnsi="Cambria" w:cs="Times New Roman" w:hint="default"/>
      <w:b/>
      <w:kern w:val="2"/>
      <w:sz w:val="32"/>
      <w:szCs w:val="32"/>
    </w:rPr>
  </w:style>
  <w:style w:type="character" w:customStyle="1" w:styleId="Char0">
    <w:name w:val="批注框文本 Char"/>
    <w:basedOn w:val="a0"/>
    <w:link w:val="a4"/>
    <w:qFormat/>
    <w:rsid w:val="00B12BC7"/>
    <w:rPr>
      <w:rFonts w:asciiTheme="minorHAnsi" w:eastAsiaTheme="minorEastAsia" w:hAnsiTheme="minorHAnsi" w:cstheme="minorBidi"/>
      <w:kern w:val="2"/>
      <w:sz w:val="18"/>
      <w:szCs w:val="18"/>
    </w:rPr>
  </w:style>
  <w:style w:type="character" w:customStyle="1" w:styleId="Char">
    <w:name w:val="批注文字 Char"/>
    <w:basedOn w:val="a0"/>
    <w:link w:val="a3"/>
    <w:qFormat/>
    <w:rsid w:val="00B12BC7"/>
    <w:rPr>
      <w:rFonts w:asciiTheme="minorHAnsi" w:eastAsiaTheme="minorEastAsia" w:hAnsiTheme="minorHAnsi" w:cstheme="minorBidi"/>
      <w:kern w:val="2"/>
      <w:sz w:val="21"/>
      <w:szCs w:val="24"/>
    </w:rPr>
  </w:style>
  <w:style w:type="character" w:customStyle="1" w:styleId="Char2">
    <w:name w:val="批注主题 Char"/>
    <w:basedOn w:val="Char"/>
    <w:link w:val="a6"/>
    <w:qFormat/>
    <w:rsid w:val="00B12BC7"/>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da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2072</Characters>
  <Application>Microsoft Office Word</Application>
  <DocSecurity>4</DocSecurity>
  <Lines>17</Lines>
  <Paragraphs>4</Paragraphs>
  <ScaleCrop>false</ScaleCrop>
  <Company>CNSTOCK</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2025-06-25T16:01:00Z</dcterms:created>
  <dcterms:modified xsi:type="dcterms:W3CDTF">2025-06-25T16:01:00Z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