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C2" w:rsidRDefault="00D021C2"/>
    <w:p w:rsidR="00D021C2" w:rsidRDefault="00FA5E19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关于调整</w:t>
      </w:r>
      <w:r>
        <w:rPr>
          <w:rFonts w:ascii="宋体" w:eastAsia="宋体" w:hAnsi="宋体" w:hint="eastAsia"/>
          <w:b/>
          <w:sz w:val="30"/>
        </w:rPr>
        <w:t>博时合利货币市场基金</w:t>
      </w:r>
      <w:r>
        <w:rPr>
          <w:rFonts w:ascii="宋体" w:eastAsia="宋体" w:hAnsi="宋体" w:hint="eastAsia"/>
          <w:b/>
          <w:sz w:val="30"/>
        </w:rPr>
        <w:t>B</w:t>
      </w:r>
      <w:r>
        <w:rPr>
          <w:rFonts w:ascii="宋体" w:eastAsia="宋体" w:hAnsi="宋体" w:hint="eastAsia"/>
          <w:b/>
          <w:sz w:val="30"/>
        </w:rPr>
        <w:t>类份额</w:t>
      </w:r>
      <w:r>
        <w:rPr>
          <w:rFonts w:ascii="宋体" w:eastAsia="宋体" w:hAnsi="宋体" w:hint="eastAsia"/>
          <w:b/>
          <w:sz w:val="30"/>
        </w:rPr>
        <w:t>在</w:t>
      </w:r>
      <w:r>
        <w:rPr>
          <w:rFonts w:ascii="宋体" w:eastAsia="宋体" w:hAnsi="宋体" w:hint="eastAsia"/>
          <w:b/>
          <w:sz w:val="30"/>
        </w:rPr>
        <w:t>东莞银行股份有限公司</w:t>
      </w:r>
      <w:r>
        <w:rPr>
          <w:rFonts w:ascii="宋体" w:eastAsia="宋体" w:hAnsi="宋体" w:hint="eastAsia"/>
          <w:b/>
          <w:sz w:val="30"/>
        </w:rPr>
        <w:t>的申购、定期定额投资和转换转入业务金额限制的公告</w:t>
      </w:r>
    </w:p>
    <w:p w:rsidR="00D021C2" w:rsidRDefault="00FA5E19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6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26</w:t>
      </w:r>
      <w:r>
        <w:rPr>
          <w:rFonts w:ascii="宋体" w:eastAsia="宋体" w:hAnsi="宋体"/>
          <w:b/>
          <w:sz w:val="24"/>
        </w:rPr>
        <w:t>日</w:t>
      </w:r>
    </w:p>
    <w:p w:rsidR="00D021C2" w:rsidRDefault="00D021C2">
      <w:pPr>
        <w:jc w:val="center"/>
        <w:rPr>
          <w:rFonts w:ascii="宋体" w:eastAsia="宋体" w:hAnsi="宋体"/>
          <w:b/>
          <w:sz w:val="24"/>
        </w:rPr>
      </w:pPr>
    </w:p>
    <w:p w:rsidR="00D021C2" w:rsidRDefault="00FA5E1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博时合利货币市场基金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博时合利货币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002960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根据有关法律法规及《博时合利货币市场基金基金合同》、《博时合利货币市场基金招募说明书》等的规定</w:t>
            </w:r>
          </w:p>
        </w:tc>
      </w:tr>
      <w:tr w:rsidR="00D021C2">
        <w:tc>
          <w:tcPr>
            <w:tcW w:w="2130" w:type="dxa"/>
            <w:vMerge w:val="restart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27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D021C2">
        <w:trPr>
          <w:trHeight w:val="577"/>
        </w:trPr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27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D021C2"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27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D021C2"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10,000.00</w:t>
            </w:r>
          </w:p>
        </w:tc>
      </w:tr>
      <w:tr w:rsidR="00D021C2"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10,000.00</w:t>
            </w:r>
          </w:p>
        </w:tc>
      </w:tr>
      <w:tr w:rsidR="00D021C2"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10,000.00</w:t>
            </w:r>
          </w:p>
        </w:tc>
      </w:tr>
      <w:tr w:rsidR="00D021C2">
        <w:tc>
          <w:tcPr>
            <w:tcW w:w="2130" w:type="dxa"/>
            <w:vMerge/>
            <w:vAlign w:val="center"/>
          </w:tcPr>
          <w:p w:rsidR="00D021C2" w:rsidRDefault="00D021C2"/>
        </w:tc>
        <w:tc>
          <w:tcPr>
            <w:tcW w:w="2130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  <w:r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博时合利货币</w:t>
            </w:r>
            <w:r>
              <w:rPr>
                <w:rFonts w:ascii="宋体" w:eastAsia="宋体" w:hAnsi="宋体" w:hint="eastAsia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博时合利货币</w:t>
            </w:r>
            <w:r>
              <w:rPr>
                <w:rFonts w:ascii="宋体" w:eastAsia="宋体" w:hAnsi="宋体" w:hint="eastAsia"/>
                <w:sz w:val="24"/>
              </w:rPr>
              <w:t>B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  <w:r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008191</w:t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002960</w:t>
            </w:r>
          </w:p>
        </w:tc>
      </w:tr>
      <w:tr w:rsidR="00D021C2">
        <w:tc>
          <w:tcPr>
            <w:tcW w:w="4260" w:type="dxa"/>
            <w:gridSpan w:val="2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  <w:r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D021C2" w:rsidRDefault="00FA5E1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D021C2" w:rsidRDefault="00D021C2"/>
    <w:p w:rsidR="00D021C2" w:rsidRDefault="00FA5E1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="420"/>
        <w:rPr>
          <w:rStyle w:val="a5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起，本基金</w:t>
      </w:r>
      <w:r>
        <w:rPr>
          <w:rFonts w:hint="eastAsia"/>
        </w:rPr>
        <w:t>B</w:t>
      </w:r>
      <w:r>
        <w:rPr>
          <w:rFonts w:hint="eastAsia"/>
        </w:rPr>
        <w:t>类份额机构投资者</w:t>
      </w:r>
      <w:r>
        <w:rPr>
          <w:rFonts w:hint="eastAsia"/>
        </w:rPr>
        <w:t>单日</w:t>
      </w:r>
      <w:r>
        <w:rPr>
          <w:rFonts w:hint="eastAsia"/>
        </w:rPr>
        <w:t>单个基金账户在东莞银行股份有限公司的</w:t>
      </w:r>
      <w:r>
        <w:rPr>
          <w:rFonts w:hint="eastAsia"/>
        </w:rPr>
        <w:t>申购、转换转入、定期定额投资</w:t>
      </w:r>
      <w:r>
        <w:rPr>
          <w:rFonts w:hint="eastAsia"/>
        </w:rPr>
        <w:t>累计</w:t>
      </w:r>
      <w:r>
        <w:rPr>
          <w:rFonts w:hint="eastAsia"/>
        </w:rPr>
        <w:t>金额应不超过</w:t>
      </w:r>
      <w:r>
        <w:rPr>
          <w:rFonts w:hint="eastAsia"/>
        </w:rPr>
        <w:t>1</w:t>
      </w:r>
      <w:r>
        <w:rPr>
          <w:rFonts w:hint="eastAsia"/>
        </w:rPr>
        <w:lastRenderedPageBreak/>
        <w:t>万</w:t>
      </w:r>
      <w:r>
        <w:rPr>
          <w:rFonts w:hint="eastAsia"/>
        </w:rPr>
        <w:t>元</w:t>
      </w:r>
      <w:r>
        <w:rPr>
          <w:rFonts w:hint="eastAsia"/>
        </w:rPr>
        <w:t>。如</w:t>
      </w:r>
      <w:r>
        <w:rPr>
          <w:rFonts w:hint="eastAsia"/>
        </w:rPr>
        <w:t>机构投资者</w:t>
      </w:r>
      <w:r>
        <w:rPr>
          <w:rFonts w:hint="eastAsia"/>
        </w:rPr>
        <w:t>单日</w:t>
      </w:r>
      <w:r>
        <w:rPr>
          <w:rFonts w:hint="eastAsia"/>
        </w:rPr>
        <w:t>单个</w:t>
      </w:r>
      <w:r>
        <w:rPr>
          <w:rFonts w:hint="eastAsia"/>
        </w:rPr>
        <w:t>基金账户</w:t>
      </w:r>
      <w:r>
        <w:rPr>
          <w:rFonts w:hint="eastAsia"/>
        </w:rPr>
        <w:t>通过东莞银行股份有限公司</w:t>
      </w:r>
      <w:r>
        <w:rPr>
          <w:rFonts w:hint="eastAsia"/>
        </w:rPr>
        <w:t>申购、转换转入、定期定额投资</w:t>
      </w:r>
      <w:r>
        <w:rPr>
          <w:rFonts w:hint="eastAsia"/>
        </w:rPr>
        <w:t>本基金</w:t>
      </w:r>
      <w:r>
        <w:rPr>
          <w:rFonts w:hint="eastAsia"/>
        </w:rPr>
        <w:t>B</w:t>
      </w:r>
      <w:r>
        <w:rPr>
          <w:rFonts w:hint="eastAsia"/>
        </w:rPr>
        <w:t>类份额</w:t>
      </w:r>
      <w:r>
        <w:rPr>
          <w:rFonts w:hint="eastAsia"/>
        </w:rPr>
        <w:t>累计金额超过</w:t>
      </w:r>
      <w:r>
        <w:rPr>
          <w:rFonts w:hint="eastAsia"/>
        </w:rPr>
        <w:t>1</w:t>
      </w:r>
      <w:r>
        <w:rPr>
          <w:rFonts w:hint="eastAsia"/>
        </w:rPr>
        <w:t>万元，本基金管理人有权拒绝。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上述限额调整仅针对</w:t>
      </w:r>
      <w:r>
        <w:rPr>
          <w:rFonts w:hint="eastAsia"/>
        </w:rPr>
        <w:t>本基金</w:t>
      </w:r>
      <w:bookmarkStart w:id="0" w:name="_GoBack"/>
      <w:bookmarkEnd w:id="0"/>
      <w:r>
        <w:rPr>
          <w:rFonts w:hint="eastAsia"/>
        </w:rPr>
        <w:t>B</w:t>
      </w:r>
      <w:r>
        <w:rPr>
          <w:rFonts w:hint="eastAsia"/>
        </w:rPr>
        <w:t>类份额机构投资者</w:t>
      </w:r>
      <w:r>
        <w:t>在</w:t>
      </w:r>
      <w:r>
        <w:rPr>
          <w:rFonts w:hint="eastAsia"/>
        </w:rPr>
        <w:t>东莞银行股份有限公司</w:t>
      </w:r>
      <w:r>
        <w:t>的大额申购</w:t>
      </w:r>
      <w:r>
        <w:rPr>
          <w:rFonts w:hint="eastAsia"/>
        </w:rPr>
        <w:t>、定期定额投资和转换转入业务，机构投资者及个人投资者在其他销售机构的相关业务规则保持不变。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在本基金暂停大额申购、转换转入、定期定额投资业务期间，其它业务正常办理。</w:t>
      </w:r>
      <w:r>
        <w:rPr>
          <w:rFonts w:hint="eastAsia"/>
        </w:rPr>
        <w:t>本基金恢复办理大额申购、转换转入、定期定额投资业务的时间将另行公告。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D021C2" w:rsidRDefault="00D021C2">
      <w:pPr>
        <w:pStyle w:val="a3"/>
        <w:spacing w:before="0" w:beforeAutospacing="0" w:after="0" w:afterAutospacing="0" w:line="360" w:lineRule="auto"/>
        <w:ind w:firstLine="420"/>
      </w:pPr>
    </w:p>
    <w:p w:rsidR="00D021C2" w:rsidRDefault="00D021C2">
      <w:pPr>
        <w:pStyle w:val="a3"/>
        <w:spacing w:before="0" w:beforeAutospacing="0" w:after="0" w:afterAutospacing="0" w:line="360" w:lineRule="auto"/>
        <w:ind w:firstLine="420"/>
      </w:pPr>
    </w:p>
    <w:p w:rsidR="00D021C2" w:rsidRDefault="00D021C2">
      <w:pPr>
        <w:pStyle w:val="a3"/>
        <w:spacing w:before="0" w:beforeAutospacing="0" w:after="0" w:afterAutospacing="0" w:line="360" w:lineRule="auto"/>
        <w:ind w:firstLine="420"/>
      </w:pPr>
    </w:p>
    <w:p w:rsidR="00D021C2" w:rsidRDefault="00FA5E19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D021C2" w:rsidRDefault="00FA5E19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6</w:t>
      </w:r>
      <w:r>
        <w:t>月</w:t>
      </w:r>
      <w:r>
        <w:rPr>
          <w:rFonts w:hint="eastAsia"/>
        </w:rPr>
        <w:t>26</w:t>
      </w:r>
      <w:r>
        <w:t>日</w:t>
      </w:r>
    </w:p>
    <w:p w:rsidR="00D021C2" w:rsidRDefault="00D021C2"/>
    <w:p w:rsidR="00D021C2" w:rsidRDefault="00D021C2"/>
    <w:p w:rsidR="00D021C2" w:rsidRDefault="00D021C2"/>
    <w:p w:rsidR="00D021C2" w:rsidRDefault="00D021C2"/>
    <w:sectPr w:rsidR="00D021C2" w:rsidSect="00D0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FF52925"/>
    <w:rsid w:val="001D6B5E"/>
    <w:rsid w:val="00D021C2"/>
    <w:rsid w:val="00FA5E19"/>
    <w:rsid w:val="1B0033D4"/>
    <w:rsid w:val="44B52020"/>
    <w:rsid w:val="5FF52925"/>
    <w:rsid w:val="7447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1C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D021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02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D02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02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4</DocSecurity>
  <Lines>6</Lines>
  <Paragraphs>1</Paragraphs>
  <ScaleCrop>false</ScaleCrop>
  <Company>CNSTOCK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sunhm</dc:creator>
  <cp:lastModifiedBy>ZHONGM</cp:lastModifiedBy>
  <cp:revision>2</cp:revision>
  <dcterms:created xsi:type="dcterms:W3CDTF">2025-06-25T16:03:00Z</dcterms:created>
  <dcterms:modified xsi:type="dcterms:W3CDTF">2025-06-25T16:03:00Z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33CB84187C3E4CFB94768BF23A2072BF</vt:lpwstr>
  </property>
</Properties>
</file>