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37" w:rsidRDefault="00E24A35" w:rsidP="00D56937">
      <w:pPr>
        <w:jc w:val="center"/>
        <w:rPr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长城基金管理有限公司</w:t>
      </w:r>
    </w:p>
    <w:p w:rsidR="00D07154" w:rsidRPr="004F3300" w:rsidRDefault="00D56937" w:rsidP="00D56937">
      <w:pPr>
        <w:jc w:val="center"/>
        <w:rPr>
          <w:rFonts w:hint="eastAsia"/>
          <w:b/>
          <w:sz w:val="32"/>
          <w:szCs w:val="32"/>
        </w:rPr>
      </w:pPr>
      <w:r w:rsidRPr="00D56937">
        <w:rPr>
          <w:rFonts w:hint="eastAsia"/>
          <w:b/>
          <w:sz w:val="32"/>
          <w:szCs w:val="32"/>
        </w:rPr>
        <w:t>关于旗下基金估值调整情况的公告</w:t>
      </w:r>
    </w:p>
    <w:p w:rsidR="005B208C" w:rsidRPr="005F515B" w:rsidRDefault="00397028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30A0C">
        <w:rPr>
          <w:rFonts w:ascii="宋体" w:hAnsi="宋体"/>
          <w:szCs w:val="24"/>
        </w:rPr>
        <w:t>根据《中国证监会关于证券投资基金估值业务的指导意见》</w:t>
      </w:r>
      <w:r w:rsidR="00A852DF">
        <w:rPr>
          <w:rFonts w:ascii="宋体" w:hAnsi="宋体"/>
          <w:szCs w:val="24"/>
        </w:rPr>
        <w:t>（</w:t>
      </w:r>
      <w:r w:rsidR="00A852DF" w:rsidRPr="00A852DF">
        <w:rPr>
          <w:rFonts w:ascii="宋体" w:hAnsi="宋体" w:hint="eastAsia"/>
          <w:szCs w:val="24"/>
        </w:rPr>
        <w:t>中国证券监督管理委员会公告[2017]13号</w:t>
      </w:r>
      <w:r w:rsidR="00A852DF">
        <w:rPr>
          <w:rFonts w:ascii="宋体" w:hAnsi="宋体"/>
          <w:szCs w:val="24"/>
        </w:rPr>
        <w:t>）</w:t>
      </w:r>
      <w:r w:rsidR="00A852DF" w:rsidRPr="00A852DF">
        <w:rPr>
          <w:rFonts w:ascii="宋体" w:hAnsi="宋体" w:hint="eastAsia"/>
          <w:szCs w:val="24"/>
        </w:rPr>
        <w:t>的有关规定</w:t>
      </w:r>
      <w:r w:rsidR="00B32A16" w:rsidRPr="00330A0C">
        <w:rPr>
          <w:rFonts w:ascii="宋体" w:hAnsi="宋体"/>
          <w:szCs w:val="24"/>
        </w:rPr>
        <w:t>，</w:t>
      </w:r>
      <w:r w:rsidR="00B32A16" w:rsidRPr="003D7018">
        <w:rPr>
          <w:rFonts w:ascii="宋体" w:hAnsi="宋体"/>
          <w:szCs w:val="24"/>
        </w:rPr>
        <w:t>经与</w:t>
      </w:r>
      <w:r w:rsidR="00485335" w:rsidRPr="00485335">
        <w:rPr>
          <w:rFonts w:ascii="宋体" w:hAnsi="宋体"/>
          <w:szCs w:val="24"/>
        </w:rPr>
        <w:t>基金托管人</w:t>
      </w:r>
      <w:r w:rsidR="00B32A16" w:rsidRPr="003D7018">
        <w:rPr>
          <w:rFonts w:ascii="宋体" w:hAnsi="宋体"/>
          <w:szCs w:val="24"/>
        </w:rPr>
        <w:t>协商一致，</w:t>
      </w:r>
      <w:r w:rsidR="005F515B" w:rsidRPr="005F515B">
        <w:rPr>
          <w:rFonts w:ascii="宋体" w:hAnsi="宋体" w:hint="eastAsia"/>
          <w:szCs w:val="24"/>
        </w:rPr>
        <w:t>自</w:t>
      </w:r>
      <w:r w:rsidR="005F515B">
        <w:rPr>
          <w:rFonts w:ascii="宋体" w:hAnsi="宋体" w:hint="eastAsia"/>
          <w:szCs w:val="24"/>
        </w:rPr>
        <w:t>20</w:t>
      </w:r>
      <w:r w:rsidR="005F515B">
        <w:rPr>
          <w:rFonts w:ascii="宋体" w:hAnsi="宋体"/>
          <w:szCs w:val="24"/>
        </w:rPr>
        <w:t>2</w:t>
      </w:r>
      <w:r w:rsidR="000E72C3">
        <w:rPr>
          <w:rFonts w:ascii="宋体" w:hAnsi="宋体"/>
          <w:szCs w:val="24"/>
        </w:rPr>
        <w:t>5</w:t>
      </w:r>
      <w:r w:rsidR="005F515B" w:rsidRPr="005F515B">
        <w:rPr>
          <w:rFonts w:ascii="宋体" w:hAnsi="宋体" w:hint="eastAsia"/>
          <w:szCs w:val="24"/>
        </w:rPr>
        <w:t>年</w:t>
      </w:r>
      <w:r w:rsidR="000E72C3">
        <w:rPr>
          <w:rFonts w:ascii="宋体" w:hAnsi="宋体" w:hint="eastAsia"/>
          <w:szCs w:val="24"/>
        </w:rPr>
        <w:t>6</w:t>
      </w:r>
      <w:r w:rsidR="005F515B" w:rsidRPr="005F515B">
        <w:rPr>
          <w:rFonts w:ascii="宋体" w:hAnsi="宋体" w:hint="eastAsia"/>
          <w:szCs w:val="24"/>
        </w:rPr>
        <w:t>月</w:t>
      </w:r>
      <w:r w:rsidR="003C759F">
        <w:rPr>
          <w:rFonts w:ascii="宋体" w:hAnsi="宋体" w:hint="eastAsia"/>
          <w:szCs w:val="24"/>
        </w:rPr>
        <w:t>2</w:t>
      </w:r>
      <w:r w:rsidR="007B7812">
        <w:rPr>
          <w:rFonts w:ascii="宋体" w:hAnsi="宋体"/>
          <w:szCs w:val="24"/>
        </w:rPr>
        <w:t>4</w:t>
      </w:r>
      <w:r w:rsidR="005F515B" w:rsidRPr="005F515B">
        <w:rPr>
          <w:rFonts w:ascii="宋体" w:hAnsi="宋体" w:hint="eastAsia"/>
          <w:szCs w:val="24"/>
        </w:rPr>
        <w:t>日起，长城基金管理有限公司（以下简称“本公司”）</w:t>
      </w:r>
      <w:r w:rsidR="00F61212" w:rsidRPr="00F61212">
        <w:rPr>
          <w:rFonts w:ascii="宋体" w:hAnsi="宋体" w:hint="eastAsia"/>
          <w:szCs w:val="24"/>
        </w:rPr>
        <w:t>对旗下证券投资基金持有的</w:t>
      </w:r>
      <w:r w:rsidR="00A852DF">
        <w:rPr>
          <w:rFonts w:ascii="宋体" w:hAnsi="宋体" w:hint="eastAsia"/>
          <w:szCs w:val="24"/>
        </w:rPr>
        <w:t>停牌股票</w:t>
      </w:r>
      <w:r w:rsidR="00F61212" w:rsidRPr="00F61212">
        <w:rPr>
          <w:rFonts w:ascii="宋体" w:hAnsi="宋体" w:hint="eastAsia"/>
          <w:szCs w:val="24"/>
        </w:rPr>
        <w:t>“诺辉健康”（股票代码：6606.HK）</w:t>
      </w:r>
      <w:r w:rsidR="00265101">
        <w:rPr>
          <w:rFonts w:ascii="宋体" w:hAnsi="宋体" w:hint="eastAsia"/>
          <w:szCs w:val="24"/>
        </w:rPr>
        <w:t>按照</w:t>
      </w:r>
      <w:r w:rsidR="00265101">
        <w:rPr>
          <w:rFonts w:ascii="宋体" w:hAnsi="宋体"/>
          <w:szCs w:val="24"/>
        </w:rPr>
        <w:t>1.</w:t>
      </w:r>
      <w:r w:rsidR="00C26062">
        <w:rPr>
          <w:rFonts w:ascii="宋体" w:hAnsi="宋体"/>
          <w:szCs w:val="24"/>
        </w:rPr>
        <w:t>20</w:t>
      </w:r>
      <w:r w:rsidR="00C06915" w:rsidRPr="00C06915">
        <w:rPr>
          <w:rFonts w:ascii="宋体" w:hAnsi="宋体" w:hint="eastAsia"/>
          <w:szCs w:val="24"/>
        </w:rPr>
        <w:t>港元/股</w:t>
      </w:r>
      <w:r w:rsidR="00265101">
        <w:rPr>
          <w:rFonts w:ascii="宋体" w:hAnsi="宋体" w:hint="eastAsia"/>
          <w:szCs w:val="24"/>
        </w:rPr>
        <w:t>进行估值。</w:t>
      </w:r>
    </w:p>
    <w:p w:rsidR="005F515B" w:rsidRDefault="005F515B" w:rsidP="00040588">
      <w:pPr>
        <w:pStyle w:val="a6"/>
        <w:adjustRightInd/>
        <w:spacing w:line="360" w:lineRule="auto"/>
        <w:ind w:firstLineChars="200" w:firstLine="480"/>
        <w:rPr>
          <w:rFonts w:ascii="宋体" w:hAnsi="宋体"/>
          <w:szCs w:val="24"/>
        </w:rPr>
      </w:pPr>
      <w:r w:rsidRPr="005F515B">
        <w:rPr>
          <w:rFonts w:ascii="宋体" w:hAnsi="宋体" w:hint="eastAsia"/>
          <w:szCs w:val="24"/>
        </w:rPr>
        <w:t>本公司将密切关注其后续经营情况及其他重要事项，进行合理评估，必要时将与基金托管人协商，进一步确定其估值价格。</w:t>
      </w:r>
    </w:p>
    <w:p w:rsidR="003E59F5" w:rsidRPr="003D7018" w:rsidRDefault="003E59F5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待上述股票复牌且体现</w:t>
      </w:r>
      <w:r w:rsidR="00A852DF">
        <w:rPr>
          <w:rFonts w:ascii="宋体" w:hAnsi="宋体" w:hint="eastAsia"/>
          <w:szCs w:val="24"/>
        </w:rPr>
        <w:t>了</w:t>
      </w:r>
      <w:r w:rsidRPr="003D7018">
        <w:rPr>
          <w:rFonts w:ascii="宋体" w:hAnsi="宋体" w:hint="eastAsia"/>
          <w:szCs w:val="24"/>
        </w:rPr>
        <w:t>活跃市场交易特征后，</w:t>
      </w:r>
      <w:r w:rsidR="00A852DF">
        <w:rPr>
          <w:rFonts w:ascii="宋体" w:hAnsi="宋体" w:hint="eastAsia"/>
          <w:szCs w:val="24"/>
        </w:rPr>
        <w:t>本公司</w:t>
      </w:r>
      <w:r w:rsidRPr="003D7018">
        <w:rPr>
          <w:rFonts w:ascii="宋体" w:hAnsi="宋体" w:hint="eastAsia"/>
          <w:szCs w:val="24"/>
        </w:rPr>
        <w:t>将恢复按市价估值方法进行估值</w:t>
      </w:r>
      <w:r w:rsidR="002F08F8" w:rsidRPr="003D7018">
        <w:rPr>
          <w:rFonts w:ascii="宋体" w:hAnsi="宋体" w:hint="eastAsia"/>
          <w:szCs w:val="24"/>
        </w:rPr>
        <w:t>，届时不再另行公告。</w:t>
      </w:r>
    </w:p>
    <w:p w:rsidR="005B208C" w:rsidRPr="003D7018" w:rsidRDefault="006B77DD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D07154" w:rsidRPr="003D7018" w:rsidRDefault="00D07154" w:rsidP="000A4C34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特此公告</w:t>
      </w:r>
    </w:p>
    <w:p w:rsidR="00AF08DC" w:rsidRPr="003D7018" w:rsidRDefault="00AF08DC" w:rsidP="006A63A5">
      <w:pPr>
        <w:pStyle w:val="a6"/>
        <w:wordWrap w:val="0"/>
        <w:spacing w:line="360" w:lineRule="auto"/>
        <w:ind w:right="140" w:firstLineChars="200" w:firstLine="480"/>
        <w:jc w:val="right"/>
        <w:rPr>
          <w:rFonts w:ascii="宋体" w:hAnsi="宋体" w:hint="eastAsia"/>
          <w:szCs w:val="24"/>
        </w:rPr>
      </w:pPr>
    </w:p>
    <w:p w:rsidR="00786E77" w:rsidRDefault="00786E77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</w:p>
    <w:p w:rsidR="00040588" w:rsidRDefault="00D07154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  <w:r w:rsidRPr="003D7018">
        <w:rPr>
          <w:rFonts w:ascii="宋体" w:hAnsi="宋体" w:hint="eastAsia"/>
          <w:szCs w:val="24"/>
        </w:rPr>
        <w:t>长城基金管理有限公司</w:t>
      </w:r>
    </w:p>
    <w:p w:rsidR="00B17C7E" w:rsidRPr="003D7018" w:rsidRDefault="00040588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</w:t>
      </w:r>
      <w:r w:rsidR="003215F9">
        <w:rPr>
          <w:rFonts w:ascii="宋体" w:hAnsi="宋体"/>
          <w:szCs w:val="24"/>
        </w:rPr>
        <w:t>025</w:t>
      </w:r>
      <w:r w:rsidR="00C26C19" w:rsidRPr="003D7018">
        <w:rPr>
          <w:rFonts w:ascii="宋体" w:hAnsi="宋体" w:hint="eastAsia"/>
          <w:szCs w:val="24"/>
        </w:rPr>
        <w:t>年</w:t>
      </w:r>
      <w:r w:rsidR="003215F9">
        <w:rPr>
          <w:rFonts w:ascii="宋体" w:hAnsi="宋体"/>
          <w:szCs w:val="24"/>
        </w:rPr>
        <w:t>6</w:t>
      </w:r>
      <w:r w:rsidR="00C26C19" w:rsidRPr="003D7018">
        <w:rPr>
          <w:rFonts w:ascii="宋体" w:hAnsi="宋体" w:hint="eastAsia"/>
          <w:szCs w:val="24"/>
        </w:rPr>
        <w:t>月</w:t>
      </w:r>
      <w:r w:rsidR="007B7812">
        <w:rPr>
          <w:rFonts w:ascii="宋体" w:hAnsi="宋体"/>
          <w:szCs w:val="24"/>
        </w:rPr>
        <w:t>25</w:t>
      </w:r>
      <w:r w:rsidR="00C26C19" w:rsidRPr="003D7018">
        <w:rPr>
          <w:rFonts w:ascii="宋体" w:hAnsi="宋体" w:hint="eastAsia"/>
          <w:szCs w:val="24"/>
        </w:rPr>
        <w:t>日</w:t>
      </w:r>
    </w:p>
    <w:sectPr w:rsidR="00B17C7E" w:rsidRPr="003D7018" w:rsidSect="00C13F12">
      <w:pgSz w:w="11906" w:h="16838"/>
      <w:pgMar w:top="109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095" w:rsidRDefault="00860095" w:rsidP="00174E47">
      <w:r>
        <w:separator/>
      </w:r>
    </w:p>
  </w:endnote>
  <w:endnote w:type="continuationSeparator" w:id="0">
    <w:p w:rsidR="00860095" w:rsidRDefault="00860095" w:rsidP="0017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095" w:rsidRDefault="00860095" w:rsidP="00174E47">
      <w:r>
        <w:separator/>
      </w:r>
    </w:p>
  </w:footnote>
  <w:footnote w:type="continuationSeparator" w:id="0">
    <w:p w:rsidR="00860095" w:rsidRDefault="00860095" w:rsidP="00174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54"/>
    <w:rsid w:val="00003E1B"/>
    <w:rsid w:val="000113C4"/>
    <w:rsid w:val="00012F42"/>
    <w:rsid w:val="00025CC8"/>
    <w:rsid w:val="000305B3"/>
    <w:rsid w:val="00031B6D"/>
    <w:rsid w:val="00040588"/>
    <w:rsid w:val="00066BD7"/>
    <w:rsid w:val="00071E98"/>
    <w:rsid w:val="000846C2"/>
    <w:rsid w:val="0008596A"/>
    <w:rsid w:val="00093C21"/>
    <w:rsid w:val="00096EE0"/>
    <w:rsid w:val="000A1D66"/>
    <w:rsid w:val="000A20DE"/>
    <w:rsid w:val="000A4C34"/>
    <w:rsid w:val="000A7ACC"/>
    <w:rsid w:val="000B0297"/>
    <w:rsid w:val="000B0964"/>
    <w:rsid w:val="000B1AB9"/>
    <w:rsid w:val="000D0953"/>
    <w:rsid w:val="000D3A03"/>
    <w:rsid w:val="000E29EE"/>
    <w:rsid w:val="000E72C3"/>
    <w:rsid w:val="000F417A"/>
    <w:rsid w:val="001015D3"/>
    <w:rsid w:val="001041D1"/>
    <w:rsid w:val="00111BCE"/>
    <w:rsid w:val="00120791"/>
    <w:rsid w:val="00125C73"/>
    <w:rsid w:val="00147652"/>
    <w:rsid w:val="0015172D"/>
    <w:rsid w:val="001544A3"/>
    <w:rsid w:val="001640D4"/>
    <w:rsid w:val="00171899"/>
    <w:rsid w:val="00174E47"/>
    <w:rsid w:val="00176376"/>
    <w:rsid w:val="00177CC3"/>
    <w:rsid w:val="001A49E6"/>
    <w:rsid w:val="001B043D"/>
    <w:rsid w:val="001B20BB"/>
    <w:rsid w:val="001C0BCF"/>
    <w:rsid w:val="001C1D88"/>
    <w:rsid w:val="001C6DF8"/>
    <w:rsid w:val="001F5AF8"/>
    <w:rsid w:val="00201B4C"/>
    <w:rsid w:val="00213520"/>
    <w:rsid w:val="002224C6"/>
    <w:rsid w:val="002264FE"/>
    <w:rsid w:val="00230386"/>
    <w:rsid w:val="002303B4"/>
    <w:rsid w:val="0023654E"/>
    <w:rsid w:val="00236B5D"/>
    <w:rsid w:val="00247245"/>
    <w:rsid w:val="00262F4B"/>
    <w:rsid w:val="00263D2C"/>
    <w:rsid w:val="00265101"/>
    <w:rsid w:val="002827F6"/>
    <w:rsid w:val="002863C5"/>
    <w:rsid w:val="00291D46"/>
    <w:rsid w:val="002929A3"/>
    <w:rsid w:val="00294C12"/>
    <w:rsid w:val="002A337E"/>
    <w:rsid w:val="002D09B6"/>
    <w:rsid w:val="002D6B07"/>
    <w:rsid w:val="002D6F46"/>
    <w:rsid w:val="002E22EA"/>
    <w:rsid w:val="002E758C"/>
    <w:rsid w:val="002F06BC"/>
    <w:rsid w:val="002F08F8"/>
    <w:rsid w:val="002F3CA4"/>
    <w:rsid w:val="002F6167"/>
    <w:rsid w:val="002F67EE"/>
    <w:rsid w:val="003043C6"/>
    <w:rsid w:val="0030590A"/>
    <w:rsid w:val="00311AFE"/>
    <w:rsid w:val="00311FA9"/>
    <w:rsid w:val="003215F9"/>
    <w:rsid w:val="00330A0C"/>
    <w:rsid w:val="00332C54"/>
    <w:rsid w:val="00340429"/>
    <w:rsid w:val="003408F4"/>
    <w:rsid w:val="003424C9"/>
    <w:rsid w:val="00343642"/>
    <w:rsid w:val="0034631B"/>
    <w:rsid w:val="003467AC"/>
    <w:rsid w:val="00353051"/>
    <w:rsid w:val="003541F0"/>
    <w:rsid w:val="003655E1"/>
    <w:rsid w:val="00371F27"/>
    <w:rsid w:val="00381584"/>
    <w:rsid w:val="00392088"/>
    <w:rsid w:val="00397028"/>
    <w:rsid w:val="003A04BF"/>
    <w:rsid w:val="003A6744"/>
    <w:rsid w:val="003A67E0"/>
    <w:rsid w:val="003C08BB"/>
    <w:rsid w:val="003C34E1"/>
    <w:rsid w:val="003C5420"/>
    <w:rsid w:val="003C759F"/>
    <w:rsid w:val="003D7018"/>
    <w:rsid w:val="003E0251"/>
    <w:rsid w:val="003E0919"/>
    <w:rsid w:val="003E3B56"/>
    <w:rsid w:val="003E59F5"/>
    <w:rsid w:val="003F0C9A"/>
    <w:rsid w:val="003F5B1C"/>
    <w:rsid w:val="00401176"/>
    <w:rsid w:val="00402395"/>
    <w:rsid w:val="00406E61"/>
    <w:rsid w:val="00410C38"/>
    <w:rsid w:val="00413415"/>
    <w:rsid w:val="004253FB"/>
    <w:rsid w:val="0042791C"/>
    <w:rsid w:val="0043441D"/>
    <w:rsid w:val="00450618"/>
    <w:rsid w:val="004507D3"/>
    <w:rsid w:val="00450848"/>
    <w:rsid w:val="00455FCE"/>
    <w:rsid w:val="00466399"/>
    <w:rsid w:val="00467EF0"/>
    <w:rsid w:val="00470176"/>
    <w:rsid w:val="00474AE5"/>
    <w:rsid w:val="004763E6"/>
    <w:rsid w:val="004777FD"/>
    <w:rsid w:val="004838B0"/>
    <w:rsid w:val="00484566"/>
    <w:rsid w:val="00485335"/>
    <w:rsid w:val="00486581"/>
    <w:rsid w:val="00492925"/>
    <w:rsid w:val="00495FA4"/>
    <w:rsid w:val="004971ED"/>
    <w:rsid w:val="004A2853"/>
    <w:rsid w:val="004A617F"/>
    <w:rsid w:val="004A7BB5"/>
    <w:rsid w:val="004D0EDD"/>
    <w:rsid w:val="004E3C23"/>
    <w:rsid w:val="004E692E"/>
    <w:rsid w:val="004F0FF7"/>
    <w:rsid w:val="004F3300"/>
    <w:rsid w:val="00513132"/>
    <w:rsid w:val="00513E7E"/>
    <w:rsid w:val="00515C1F"/>
    <w:rsid w:val="00525964"/>
    <w:rsid w:val="00526FB4"/>
    <w:rsid w:val="0053268D"/>
    <w:rsid w:val="005369A1"/>
    <w:rsid w:val="00542586"/>
    <w:rsid w:val="00542758"/>
    <w:rsid w:val="00543F21"/>
    <w:rsid w:val="0055046B"/>
    <w:rsid w:val="00550916"/>
    <w:rsid w:val="00552910"/>
    <w:rsid w:val="00561C54"/>
    <w:rsid w:val="00566B05"/>
    <w:rsid w:val="0056722C"/>
    <w:rsid w:val="00572C13"/>
    <w:rsid w:val="00594E96"/>
    <w:rsid w:val="005A1D40"/>
    <w:rsid w:val="005B13AA"/>
    <w:rsid w:val="005B208C"/>
    <w:rsid w:val="005C0CA5"/>
    <w:rsid w:val="005C20B1"/>
    <w:rsid w:val="005C3F57"/>
    <w:rsid w:val="005C795C"/>
    <w:rsid w:val="005F2183"/>
    <w:rsid w:val="005F515B"/>
    <w:rsid w:val="0060247B"/>
    <w:rsid w:val="00607401"/>
    <w:rsid w:val="0061010E"/>
    <w:rsid w:val="00614890"/>
    <w:rsid w:val="00616934"/>
    <w:rsid w:val="0062025E"/>
    <w:rsid w:val="00621CA0"/>
    <w:rsid w:val="00623556"/>
    <w:rsid w:val="00626F75"/>
    <w:rsid w:val="0064619A"/>
    <w:rsid w:val="00650391"/>
    <w:rsid w:val="00654F1E"/>
    <w:rsid w:val="006552A2"/>
    <w:rsid w:val="006553FA"/>
    <w:rsid w:val="00655C4C"/>
    <w:rsid w:val="0066126C"/>
    <w:rsid w:val="00671C43"/>
    <w:rsid w:val="006818A4"/>
    <w:rsid w:val="0068374E"/>
    <w:rsid w:val="00691614"/>
    <w:rsid w:val="00695B07"/>
    <w:rsid w:val="00697139"/>
    <w:rsid w:val="006A4487"/>
    <w:rsid w:val="006A5AB3"/>
    <w:rsid w:val="006A63A5"/>
    <w:rsid w:val="006B106C"/>
    <w:rsid w:val="006B2244"/>
    <w:rsid w:val="006B720A"/>
    <w:rsid w:val="006B77DD"/>
    <w:rsid w:val="006C2F3E"/>
    <w:rsid w:val="006C38E4"/>
    <w:rsid w:val="006C6245"/>
    <w:rsid w:val="006E6CBC"/>
    <w:rsid w:val="00703CD7"/>
    <w:rsid w:val="0070742C"/>
    <w:rsid w:val="0070755A"/>
    <w:rsid w:val="00707678"/>
    <w:rsid w:val="0072450C"/>
    <w:rsid w:val="0073200F"/>
    <w:rsid w:val="00735816"/>
    <w:rsid w:val="00736C0B"/>
    <w:rsid w:val="00741194"/>
    <w:rsid w:val="00745F2E"/>
    <w:rsid w:val="00752EBD"/>
    <w:rsid w:val="007543DB"/>
    <w:rsid w:val="00755991"/>
    <w:rsid w:val="0076295C"/>
    <w:rsid w:val="00767C7F"/>
    <w:rsid w:val="00776DC1"/>
    <w:rsid w:val="00782680"/>
    <w:rsid w:val="00786E77"/>
    <w:rsid w:val="0079445A"/>
    <w:rsid w:val="007A2221"/>
    <w:rsid w:val="007B1B8E"/>
    <w:rsid w:val="007B3842"/>
    <w:rsid w:val="007B406E"/>
    <w:rsid w:val="007B53C9"/>
    <w:rsid w:val="007B7812"/>
    <w:rsid w:val="007C06B3"/>
    <w:rsid w:val="007C13DA"/>
    <w:rsid w:val="007C58F3"/>
    <w:rsid w:val="007C78A7"/>
    <w:rsid w:val="007C78B2"/>
    <w:rsid w:val="007E0D27"/>
    <w:rsid w:val="007F4D9A"/>
    <w:rsid w:val="007F6A86"/>
    <w:rsid w:val="00800331"/>
    <w:rsid w:val="00801BF3"/>
    <w:rsid w:val="008137E6"/>
    <w:rsid w:val="00823E29"/>
    <w:rsid w:val="008315FE"/>
    <w:rsid w:val="00834B5A"/>
    <w:rsid w:val="008465E4"/>
    <w:rsid w:val="0084705C"/>
    <w:rsid w:val="0085593F"/>
    <w:rsid w:val="00860095"/>
    <w:rsid w:val="00871D76"/>
    <w:rsid w:val="008760F7"/>
    <w:rsid w:val="00877E3D"/>
    <w:rsid w:val="008804CE"/>
    <w:rsid w:val="00896065"/>
    <w:rsid w:val="008A3B59"/>
    <w:rsid w:val="008A7210"/>
    <w:rsid w:val="008C5F94"/>
    <w:rsid w:val="008D116C"/>
    <w:rsid w:val="008D5156"/>
    <w:rsid w:val="008E02F9"/>
    <w:rsid w:val="008E26F1"/>
    <w:rsid w:val="008E2D35"/>
    <w:rsid w:val="008E30AB"/>
    <w:rsid w:val="008F08CF"/>
    <w:rsid w:val="00903A6D"/>
    <w:rsid w:val="00906EDB"/>
    <w:rsid w:val="00907930"/>
    <w:rsid w:val="009105E7"/>
    <w:rsid w:val="00910F65"/>
    <w:rsid w:val="00916A81"/>
    <w:rsid w:val="00917C75"/>
    <w:rsid w:val="00920989"/>
    <w:rsid w:val="00920C00"/>
    <w:rsid w:val="00921F62"/>
    <w:rsid w:val="00926817"/>
    <w:rsid w:val="00946E3C"/>
    <w:rsid w:val="00954044"/>
    <w:rsid w:val="00954EF3"/>
    <w:rsid w:val="00957A05"/>
    <w:rsid w:val="0096011B"/>
    <w:rsid w:val="009605D5"/>
    <w:rsid w:val="009629B5"/>
    <w:rsid w:val="00964763"/>
    <w:rsid w:val="0096575A"/>
    <w:rsid w:val="00967C26"/>
    <w:rsid w:val="00987D49"/>
    <w:rsid w:val="00990CF2"/>
    <w:rsid w:val="00991DE2"/>
    <w:rsid w:val="009B0B9B"/>
    <w:rsid w:val="009B2875"/>
    <w:rsid w:val="009B4EC8"/>
    <w:rsid w:val="009C2C91"/>
    <w:rsid w:val="009C2D0A"/>
    <w:rsid w:val="009C6A8D"/>
    <w:rsid w:val="009D1403"/>
    <w:rsid w:val="009E2E95"/>
    <w:rsid w:val="009E5453"/>
    <w:rsid w:val="009F0720"/>
    <w:rsid w:val="00A01B1D"/>
    <w:rsid w:val="00A0639C"/>
    <w:rsid w:val="00A1257B"/>
    <w:rsid w:val="00A14B25"/>
    <w:rsid w:val="00A14D5C"/>
    <w:rsid w:val="00A15565"/>
    <w:rsid w:val="00A251E4"/>
    <w:rsid w:val="00A2687C"/>
    <w:rsid w:val="00A35013"/>
    <w:rsid w:val="00A35F61"/>
    <w:rsid w:val="00A433EE"/>
    <w:rsid w:val="00A50938"/>
    <w:rsid w:val="00A5445C"/>
    <w:rsid w:val="00A5610B"/>
    <w:rsid w:val="00A56967"/>
    <w:rsid w:val="00A57163"/>
    <w:rsid w:val="00A6280A"/>
    <w:rsid w:val="00A71C41"/>
    <w:rsid w:val="00A852DF"/>
    <w:rsid w:val="00A865F2"/>
    <w:rsid w:val="00A9767B"/>
    <w:rsid w:val="00AB08C7"/>
    <w:rsid w:val="00AB25F6"/>
    <w:rsid w:val="00AB7859"/>
    <w:rsid w:val="00AC14D6"/>
    <w:rsid w:val="00AC2E91"/>
    <w:rsid w:val="00AE2ADA"/>
    <w:rsid w:val="00AE3571"/>
    <w:rsid w:val="00AE4705"/>
    <w:rsid w:val="00AE7401"/>
    <w:rsid w:val="00AF08DC"/>
    <w:rsid w:val="00AF47FB"/>
    <w:rsid w:val="00B10C65"/>
    <w:rsid w:val="00B135B7"/>
    <w:rsid w:val="00B17C7E"/>
    <w:rsid w:val="00B30E7D"/>
    <w:rsid w:val="00B32A16"/>
    <w:rsid w:val="00B338CB"/>
    <w:rsid w:val="00B34AA2"/>
    <w:rsid w:val="00B34B1D"/>
    <w:rsid w:val="00B34B98"/>
    <w:rsid w:val="00B4113B"/>
    <w:rsid w:val="00B42188"/>
    <w:rsid w:val="00B45C85"/>
    <w:rsid w:val="00B5330B"/>
    <w:rsid w:val="00B56AE8"/>
    <w:rsid w:val="00B56EAB"/>
    <w:rsid w:val="00B63888"/>
    <w:rsid w:val="00B67CB8"/>
    <w:rsid w:val="00B728FD"/>
    <w:rsid w:val="00B77879"/>
    <w:rsid w:val="00B87BA7"/>
    <w:rsid w:val="00B904BB"/>
    <w:rsid w:val="00B91190"/>
    <w:rsid w:val="00B9402B"/>
    <w:rsid w:val="00B96A80"/>
    <w:rsid w:val="00B96C64"/>
    <w:rsid w:val="00BA0C1F"/>
    <w:rsid w:val="00BA2DD6"/>
    <w:rsid w:val="00BA5CC0"/>
    <w:rsid w:val="00BA6044"/>
    <w:rsid w:val="00BC02FC"/>
    <w:rsid w:val="00BC142B"/>
    <w:rsid w:val="00BC1E3A"/>
    <w:rsid w:val="00BC4ACA"/>
    <w:rsid w:val="00BC67D5"/>
    <w:rsid w:val="00BC751B"/>
    <w:rsid w:val="00BE62CE"/>
    <w:rsid w:val="00C00FA2"/>
    <w:rsid w:val="00C01883"/>
    <w:rsid w:val="00C05ABA"/>
    <w:rsid w:val="00C06915"/>
    <w:rsid w:val="00C076C0"/>
    <w:rsid w:val="00C12EAE"/>
    <w:rsid w:val="00C1364A"/>
    <w:rsid w:val="00C13F12"/>
    <w:rsid w:val="00C156C3"/>
    <w:rsid w:val="00C205BF"/>
    <w:rsid w:val="00C246C0"/>
    <w:rsid w:val="00C26062"/>
    <w:rsid w:val="00C26C19"/>
    <w:rsid w:val="00C30463"/>
    <w:rsid w:val="00C315D2"/>
    <w:rsid w:val="00C325DF"/>
    <w:rsid w:val="00C52433"/>
    <w:rsid w:val="00C52786"/>
    <w:rsid w:val="00C572D1"/>
    <w:rsid w:val="00C62A81"/>
    <w:rsid w:val="00C6361F"/>
    <w:rsid w:val="00C823A3"/>
    <w:rsid w:val="00C84CBE"/>
    <w:rsid w:val="00C87B11"/>
    <w:rsid w:val="00CB2530"/>
    <w:rsid w:val="00CC5719"/>
    <w:rsid w:val="00CE05CF"/>
    <w:rsid w:val="00CE7B8B"/>
    <w:rsid w:val="00CE7EFC"/>
    <w:rsid w:val="00D02B2C"/>
    <w:rsid w:val="00D07154"/>
    <w:rsid w:val="00D20C88"/>
    <w:rsid w:val="00D24763"/>
    <w:rsid w:val="00D37A95"/>
    <w:rsid w:val="00D410CE"/>
    <w:rsid w:val="00D42E4F"/>
    <w:rsid w:val="00D45A17"/>
    <w:rsid w:val="00D53A1A"/>
    <w:rsid w:val="00D54B2C"/>
    <w:rsid w:val="00D56937"/>
    <w:rsid w:val="00D618A4"/>
    <w:rsid w:val="00D76231"/>
    <w:rsid w:val="00D859E1"/>
    <w:rsid w:val="00D86E8E"/>
    <w:rsid w:val="00D87A56"/>
    <w:rsid w:val="00DB1031"/>
    <w:rsid w:val="00DD3CB0"/>
    <w:rsid w:val="00DD58C5"/>
    <w:rsid w:val="00DF30C2"/>
    <w:rsid w:val="00E00437"/>
    <w:rsid w:val="00E06EA3"/>
    <w:rsid w:val="00E12321"/>
    <w:rsid w:val="00E24A35"/>
    <w:rsid w:val="00E30037"/>
    <w:rsid w:val="00E351D1"/>
    <w:rsid w:val="00E3787C"/>
    <w:rsid w:val="00E4026A"/>
    <w:rsid w:val="00E44B91"/>
    <w:rsid w:val="00E76F52"/>
    <w:rsid w:val="00E82BF7"/>
    <w:rsid w:val="00E86073"/>
    <w:rsid w:val="00EA3408"/>
    <w:rsid w:val="00EA4BFA"/>
    <w:rsid w:val="00EB509A"/>
    <w:rsid w:val="00EB67D5"/>
    <w:rsid w:val="00EC6017"/>
    <w:rsid w:val="00ED2ED9"/>
    <w:rsid w:val="00ED36B5"/>
    <w:rsid w:val="00ED5B0B"/>
    <w:rsid w:val="00EE7109"/>
    <w:rsid w:val="00EF6DAC"/>
    <w:rsid w:val="00F04FFE"/>
    <w:rsid w:val="00F05670"/>
    <w:rsid w:val="00F172A8"/>
    <w:rsid w:val="00F217D3"/>
    <w:rsid w:val="00F2197A"/>
    <w:rsid w:val="00F33B32"/>
    <w:rsid w:val="00F347DC"/>
    <w:rsid w:val="00F364C7"/>
    <w:rsid w:val="00F535C9"/>
    <w:rsid w:val="00F53B90"/>
    <w:rsid w:val="00F54E9B"/>
    <w:rsid w:val="00F61212"/>
    <w:rsid w:val="00F63186"/>
    <w:rsid w:val="00F67CC1"/>
    <w:rsid w:val="00F87450"/>
    <w:rsid w:val="00F87DE0"/>
    <w:rsid w:val="00FB3461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1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0B1"/>
    <w:rPr>
      <w:sz w:val="18"/>
      <w:szCs w:val="18"/>
    </w:rPr>
  </w:style>
  <w:style w:type="character" w:styleId="a5">
    <w:name w:val="Hyperlink"/>
    <w:rsid w:val="005B208C"/>
    <w:rPr>
      <w:color w:val="0000FF"/>
      <w:u w:val="single"/>
    </w:rPr>
  </w:style>
  <w:style w:type="paragraph" w:customStyle="1" w:styleId="a6">
    <w:name w:val="缺省文本"/>
    <w:basedOn w:val="a"/>
    <w:rsid w:val="0053268D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7">
    <w:name w:val="header"/>
    <w:basedOn w:val="a"/>
    <w:link w:val="Char"/>
    <w:rsid w:val="0017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74E47"/>
    <w:rPr>
      <w:kern w:val="2"/>
      <w:sz w:val="18"/>
      <w:szCs w:val="18"/>
    </w:rPr>
  </w:style>
  <w:style w:type="paragraph" w:styleId="a8">
    <w:name w:val="footer"/>
    <w:basedOn w:val="a"/>
    <w:link w:val="Char0"/>
    <w:rsid w:val="0017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174E47"/>
    <w:rPr>
      <w:kern w:val="2"/>
      <w:sz w:val="18"/>
      <w:szCs w:val="18"/>
    </w:rPr>
  </w:style>
  <w:style w:type="character" w:styleId="a9">
    <w:name w:val="Strong"/>
    <w:uiPriority w:val="22"/>
    <w:qFormat/>
    <w:rsid w:val="00525964"/>
    <w:rPr>
      <w:b/>
      <w:bCs/>
    </w:rPr>
  </w:style>
  <w:style w:type="paragraph" w:styleId="aa">
    <w:name w:val="Revision"/>
    <w:hidden/>
    <w:uiPriority w:val="99"/>
    <w:semiHidden/>
    <w:rsid w:val="00916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>ccfund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长城品牌优选股票型证券投资基金等基金</dc:title>
  <dc:subject/>
  <dc:creator>xuzhs</dc:creator>
  <cp:keywords/>
  <cp:lastModifiedBy>ZHONGM</cp:lastModifiedBy>
  <cp:revision>2</cp:revision>
  <cp:lastPrinted>2017-11-17T08:51:00Z</cp:lastPrinted>
  <dcterms:created xsi:type="dcterms:W3CDTF">2025-06-24T16:03:00Z</dcterms:created>
  <dcterms:modified xsi:type="dcterms:W3CDTF">2025-06-24T16:03:00Z</dcterms:modified>
</cp:coreProperties>
</file>