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3B" w:rsidRPr="001F12D1" w:rsidRDefault="001235E2" w:rsidP="00177B3B">
      <w:pPr>
        <w:pStyle w:val="font14"/>
        <w:jc w:val="center"/>
        <w:rPr>
          <w:rFonts w:asciiTheme="majorEastAsia" w:eastAsiaTheme="majorEastAsia" w:hAnsiTheme="majorEastAsia"/>
        </w:rPr>
      </w:pPr>
      <w:r w:rsidRPr="001F12D1">
        <w:rPr>
          <w:rStyle w:val="a8"/>
          <w:rFonts w:asciiTheme="majorEastAsia" w:eastAsiaTheme="majorEastAsia" w:hAnsiTheme="majorEastAsia" w:hint="eastAsia"/>
          <w:sz w:val="24"/>
          <w:szCs w:val="24"/>
        </w:rPr>
        <w:t>易方达基金管理有限公司</w:t>
      </w:r>
      <w:r w:rsidR="002B36C1">
        <w:rPr>
          <w:rStyle w:val="a8"/>
          <w:rFonts w:asciiTheme="majorEastAsia" w:eastAsiaTheme="majorEastAsia" w:hAnsiTheme="majorEastAsia" w:hint="eastAsia"/>
          <w:sz w:val="24"/>
          <w:szCs w:val="24"/>
        </w:rPr>
        <w:t>关于旗下基金</w:t>
      </w:r>
      <w:r w:rsidRPr="00C251FE">
        <w:rPr>
          <w:rStyle w:val="a8"/>
          <w:rFonts w:asciiTheme="majorEastAsia" w:eastAsiaTheme="majorEastAsia" w:hAnsiTheme="majorEastAsia" w:hint="eastAsia"/>
          <w:sz w:val="24"/>
          <w:szCs w:val="24"/>
        </w:rPr>
        <w:t>关联交易事项的公告</w:t>
      </w:r>
    </w:p>
    <w:p w:rsidR="00041FCA" w:rsidRPr="001F12D1" w:rsidRDefault="001235E2" w:rsidP="00041FCA">
      <w:pPr>
        <w:pStyle w:val="Default"/>
        <w:spacing w:line="360" w:lineRule="auto"/>
        <w:ind w:firstLineChars="210" w:firstLine="504"/>
        <w:rPr>
          <w:rFonts w:asciiTheme="majorEastAsia" w:eastAsiaTheme="majorEastAsia" w:hAnsiTheme="majorEastAsia"/>
        </w:rPr>
      </w:pPr>
      <w:r w:rsidRPr="00041FCA">
        <w:rPr>
          <w:rFonts w:asciiTheme="majorEastAsia" w:eastAsiaTheme="majorEastAsia" w:hAnsiTheme="majorEastAsia" w:hint="eastAsia"/>
        </w:rPr>
        <w:t>根据《公开募集证券投资基金运作管理办法》《公开募集证券投资基金信息披露管理办法》及相关法律法规、基金合同及招募说明书等规定，在履行规定审批程序并经基金托管人同意后，易方达基金管理有限公司（以下简称“本公司”）旗下部分公募基金参加了浙江三花智能控制股份有限公司（以下简称“</w:t>
      </w:r>
      <w:r>
        <w:rPr>
          <w:rFonts w:asciiTheme="majorEastAsia" w:eastAsiaTheme="majorEastAsia" w:hAnsiTheme="majorEastAsia" w:hint="eastAsia"/>
        </w:rPr>
        <w:t>三花智</w:t>
      </w:r>
      <w:r w:rsidRPr="00041FCA">
        <w:rPr>
          <w:rFonts w:asciiTheme="majorEastAsia" w:eastAsiaTheme="majorEastAsia" w:hAnsiTheme="majorEastAsia" w:hint="eastAsia"/>
        </w:rPr>
        <w:t>控”）于香港联合交易所发行的境外上市股份（</w:t>
      </w:r>
      <w:r w:rsidRPr="00041FCA">
        <w:rPr>
          <w:rFonts w:asciiTheme="majorEastAsia" w:eastAsiaTheme="majorEastAsia" w:hAnsiTheme="majorEastAsia" w:hint="eastAsia"/>
        </w:rPr>
        <w:t>H</w:t>
      </w:r>
      <w:r w:rsidRPr="00041FCA">
        <w:rPr>
          <w:rFonts w:asciiTheme="majorEastAsia" w:eastAsiaTheme="majorEastAsia" w:hAnsiTheme="majorEastAsia" w:hint="eastAsia"/>
        </w:rPr>
        <w:t>股）的认购。</w:t>
      </w:r>
      <w:r>
        <w:rPr>
          <w:rFonts w:asciiTheme="majorEastAsia" w:eastAsiaTheme="majorEastAsia" w:hAnsiTheme="majorEastAsia" w:hint="eastAsia"/>
        </w:rPr>
        <w:t>三花智</w:t>
      </w:r>
      <w:r w:rsidRPr="00041FCA">
        <w:rPr>
          <w:rFonts w:asciiTheme="majorEastAsia" w:eastAsiaTheme="majorEastAsia" w:hAnsiTheme="majorEastAsia" w:hint="eastAsia"/>
        </w:rPr>
        <w:t>控本次发行的香港</w:t>
      </w:r>
      <w:r>
        <w:rPr>
          <w:rFonts w:asciiTheme="majorEastAsia" w:eastAsiaTheme="majorEastAsia" w:hAnsiTheme="majorEastAsia" w:hint="eastAsia"/>
        </w:rPr>
        <w:t>包</w:t>
      </w:r>
      <w:r w:rsidRPr="00041FCA">
        <w:rPr>
          <w:rFonts w:asciiTheme="majorEastAsia" w:eastAsiaTheme="majorEastAsia" w:hAnsiTheme="majorEastAsia" w:hint="eastAsia"/>
        </w:rPr>
        <w:t>销商广发证券（香港）经纪有限公司为本公司非控股股东广发证券股份有限公司的子公司，香港</w:t>
      </w:r>
      <w:r>
        <w:rPr>
          <w:rFonts w:asciiTheme="majorEastAsia" w:eastAsiaTheme="majorEastAsia" w:hAnsiTheme="majorEastAsia" w:hint="eastAsia"/>
        </w:rPr>
        <w:t>包</w:t>
      </w:r>
      <w:r w:rsidRPr="00041FCA">
        <w:rPr>
          <w:rFonts w:asciiTheme="majorEastAsia" w:eastAsiaTheme="majorEastAsia" w:hAnsiTheme="majorEastAsia" w:hint="eastAsia"/>
        </w:rPr>
        <w:t>销商中银国际亚洲有限公司的最终</w:t>
      </w:r>
      <w:bookmarkStart w:id="0" w:name="_GoBack"/>
      <w:bookmarkEnd w:id="0"/>
      <w:r w:rsidRPr="00041FCA">
        <w:rPr>
          <w:rFonts w:asciiTheme="majorEastAsia" w:eastAsiaTheme="majorEastAsia" w:hAnsiTheme="majorEastAsia" w:hint="eastAsia"/>
        </w:rPr>
        <w:t>控股公司为本公司旗下部分公募基金的托管人中国银行股份有限公司。</w:t>
      </w:r>
      <w:r>
        <w:rPr>
          <w:rFonts w:asciiTheme="majorEastAsia" w:eastAsiaTheme="majorEastAsia" w:hAnsiTheme="majorEastAsia" w:hint="eastAsia"/>
        </w:rPr>
        <w:t>三花智</w:t>
      </w:r>
      <w:r w:rsidRPr="00041FCA">
        <w:rPr>
          <w:rFonts w:asciiTheme="majorEastAsia" w:eastAsiaTheme="majorEastAsia" w:hAnsiTheme="majorEastAsia" w:hint="eastAsia"/>
        </w:rPr>
        <w:t>控本次发行价格为</w:t>
      </w:r>
      <w:r w:rsidR="00563015">
        <w:rPr>
          <w:rFonts w:asciiTheme="majorEastAsia" w:eastAsiaTheme="majorEastAsia" w:hAnsiTheme="majorEastAsia"/>
        </w:rPr>
        <w:t>22.53</w:t>
      </w:r>
      <w:r w:rsidRPr="00041FCA">
        <w:rPr>
          <w:rFonts w:asciiTheme="majorEastAsia" w:eastAsiaTheme="majorEastAsia" w:hAnsiTheme="majorEastAsia" w:hint="eastAsia"/>
        </w:rPr>
        <w:t>港元</w:t>
      </w:r>
      <w:r w:rsidRPr="00041FCA">
        <w:rPr>
          <w:rFonts w:asciiTheme="majorEastAsia" w:eastAsiaTheme="majorEastAsia" w:hAnsiTheme="majorEastAsia" w:hint="eastAsia"/>
        </w:rPr>
        <w:t>/</w:t>
      </w:r>
      <w:r w:rsidRPr="00041FCA">
        <w:rPr>
          <w:rFonts w:asciiTheme="majorEastAsia" w:eastAsiaTheme="majorEastAsia" w:hAnsiTheme="majorEastAsia" w:hint="eastAsia"/>
        </w:rPr>
        <w:t>股，由整体协调人（代表</w:t>
      </w:r>
      <w:r w:rsidR="00563015">
        <w:rPr>
          <w:rFonts w:asciiTheme="majorEastAsia" w:eastAsiaTheme="majorEastAsia" w:hAnsiTheme="majorEastAsia" w:hint="eastAsia"/>
        </w:rPr>
        <w:t>包</w:t>
      </w:r>
      <w:r w:rsidRPr="00041FCA">
        <w:rPr>
          <w:rFonts w:asciiTheme="majorEastAsia" w:eastAsiaTheme="majorEastAsia" w:hAnsiTheme="majorEastAsia" w:hint="eastAsia"/>
        </w:rPr>
        <w:t>销商）与发行人于定价日以协议方式厘定。</w:t>
      </w:r>
    </w:p>
    <w:p w:rsidR="00177B3B" w:rsidRDefault="001235E2" w:rsidP="00177B3B">
      <w:pPr>
        <w:pStyle w:val="Default"/>
        <w:spacing w:line="360" w:lineRule="auto"/>
        <w:ind w:firstLineChars="210" w:firstLine="504"/>
        <w:rPr>
          <w:rFonts w:asciiTheme="majorEastAsia" w:eastAsiaTheme="majorEastAsia" w:hAnsiTheme="majorEastAsia"/>
        </w:rPr>
      </w:pPr>
      <w:r w:rsidRPr="001F12D1">
        <w:rPr>
          <w:rFonts w:asciiTheme="majorEastAsia" w:eastAsiaTheme="majorEastAsia" w:hAnsiTheme="majorEastAsia" w:hint="eastAsia"/>
        </w:rPr>
        <w:t>现将获配结果披露如下表：</w:t>
      </w:r>
    </w:p>
    <w:p w:rsidR="00402751" w:rsidRPr="001F12D1" w:rsidRDefault="00402751" w:rsidP="00402751">
      <w:pPr>
        <w:pStyle w:val="Default"/>
        <w:spacing w:line="360" w:lineRule="auto"/>
        <w:rPr>
          <w:rFonts w:asciiTheme="majorEastAsia" w:eastAsiaTheme="majorEastAsia" w:hAnsiTheme="majorEastAsia"/>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1559"/>
        <w:gridCol w:w="1701"/>
        <w:gridCol w:w="1276"/>
      </w:tblGrid>
      <w:tr w:rsidR="00E24C2B" w:rsidTr="00563015">
        <w:trPr>
          <w:trHeight w:val="290"/>
        </w:trPr>
        <w:tc>
          <w:tcPr>
            <w:tcW w:w="3828" w:type="dxa"/>
            <w:shd w:val="clear" w:color="auto" w:fill="auto"/>
            <w:noWrap/>
            <w:vAlign w:val="center"/>
            <w:hideMark/>
          </w:tcPr>
          <w:p w:rsidR="00563015" w:rsidRPr="00563015" w:rsidRDefault="001235E2" w:rsidP="00563015">
            <w:pPr>
              <w:widowControl/>
              <w:jc w:val="center"/>
              <w:rPr>
                <w:rFonts w:ascii="宋体" w:hAnsi="宋体" w:cs="宋体"/>
                <w:color w:val="000000"/>
                <w:kern w:val="0"/>
                <w:szCs w:val="21"/>
              </w:rPr>
            </w:pPr>
            <w:r w:rsidRPr="00563015">
              <w:rPr>
                <w:rFonts w:ascii="宋体" w:hAnsi="宋体" w:cs="宋体" w:hint="eastAsia"/>
                <w:color w:val="000000"/>
                <w:kern w:val="0"/>
                <w:szCs w:val="21"/>
              </w:rPr>
              <w:t>基金名称</w:t>
            </w:r>
          </w:p>
        </w:tc>
        <w:tc>
          <w:tcPr>
            <w:tcW w:w="1559" w:type="dxa"/>
            <w:shd w:val="clear" w:color="000000" w:fill="FFFFFF"/>
            <w:noWrap/>
            <w:vAlign w:val="center"/>
            <w:hideMark/>
          </w:tcPr>
          <w:p w:rsidR="00563015" w:rsidRPr="00563015" w:rsidRDefault="001235E2" w:rsidP="00563015">
            <w:pPr>
              <w:widowControl/>
              <w:jc w:val="right"/>
              <w:rPr>
                <w:rFonts w:ascii="宋体" w:hAnsi="宋体" w:cs="宋体"/>
                <w:color w:val="000000"/>
                <w:kern w:val="0"/>
                <w:szCs w:val="21"/>
              </w:rPr>
            </w:pPr>
            <w:r w:rsidRPr="00563015">
              <w:rPr>
                <w:rFonts w:ascii="宋体" w:hAnsi="宋体" w:cs="宋体" w:hint="eastAsia"/>
                <w:color w:val="000000"/>
                <w:kern w:val="0"/>
                <w:szCs w:val="21"/>
              </w:rPr>
              <w:t>获配数量（股）</w:t>
            </w:r>
          </w:p>
        </w:tc>
        <w:tc>
          <w:tcPr>
            <w:tcW w:w="1701" w:type="dxa"/>
            <w:shd w:val="clear" w:color="000000" w:fill="FFFFFF"/>
            <w:noWrap/>
            <w:vAlign w:val="center"/>
            <w:hideMark/>
          </w:tcPr>
          <w:p w:rsidR="00563015" w:rsidRPr="00563015" w:rsidRDefault="001235E2" w:rsidP="00563015">
            <w:pPr>
              <w:widowControl/>
              <w:jc w:val="right"/>
              <w:rPr>
                <w:rFonts w:ascii="宋体" w:hAnsi="宋体" w:cs="宋体"/>
                <w:color w:val="000000"/>
                <w:kern w:val="0"/>
                <w:szCs w:val="21"/>
              </w:rPr>
            </w:pPr>
            <w:r w:rsidRPr="00563015">
              <w:rPr>
                <w:rFonts w:ascii="宋体" w:hAnsi="宋体" w:cs="宋体" w:hint="eastAsia"/>
                <w:color w:val="000000"/>
                <w:kern w:val="0"/>
                <w:szCs w:val="21"/>
              </w:rPr>
              <w:t>获配金额（港元）</w:t>
            </w:r>
          </w:p>
        </w:tc>
        <w:tc>
          <w:tcPr>
            <w:tcW w:w="1276" w:type="dxa"/>
            <w:shd w:val="clear" w:color="auto" w:fill="auto"/>
            <w:noWrap/>
            <w:vAlign w:val="center"/>
            <w:hideMark/>
          </w:tcPr>
          <w:p w:rsidR="00563015" w:rsidRPr="00563015" w:rsidRDefault="001235E2" w:rsidP="00563015">
            <w:pPr>
              <w:widowControl/>
              <w:jc w:val="center"/>
              <w:rPr>
                <w:rFonts w:ascii="宋体" w:hAnsi="宋体" w:cs="宋体"/>
                <w:color w:val="000000"/>
                <w:kern w:val="0"/>
                <w:szCs w:val="21"/>
              </w:rPr>
            </w:pPr>
            <w:r w:rsidRPr="00563015">
              <w:rPr>
                <w:rFonts w:ascii="宋体" w:hAnsi="宋体" w:cs="宋体" w:hint="eastAsia"/>
                <w:color w:val="000000"/>
                <w:kern w:val="0"/>
                <w:szCs w:val="21"/>
              </w:rPr>
              <w:t>基金托管人是否为中国银行</w:t>
            </w:r>
          </w:p>
        </w:tc>
      </w:tr>
      <w:tr w:rsidR="00E24C2B" w:rsidTr="00563015">
        <w:trPr>
          <w:trHeight w:val="290"/>
        </w:trPr>
        <w:tc>
          <w:tcPr>
            <w:tcW w:w="3828" w:type="dxa"/>
            <w:shd w:val="clear" w:color="auto" w:fill="auto"/>
            <w:noWrap/>
            <w:vAlign w:val="center"/>
            <w:hideMark/>
          </w:tcPr>
          <w:p w:rsidR="00563015" w:rsidRPr="00563015" w:rsidRDefault="001235E2" w:rsidP="00563015">
            <w:pPr>
              <w:widowControl/>
              <w:jc w:val="center"/>
              <w:rPr>
                <w:rFonts w:ascii="宋体" w:hAnsi="宋体" w:cs="宋体"/>
                <w:color w:val="000000"/>
                <w:kern w:val="0"/>
                <w:szCs w:val="21"/>
              </w:rPr>
            </w:pPr>
            <w:r w:rsidRPr="00563015">
              <w:rPr>
                <w:rFonts w:ascii="宋体" w:hAnsi="宋体" w:cs="宋体" w:hint="eastAsia"/>
                <w:color w:val="000000"/>
                <w:kern w:val="0"/>
                <w:szCs w:val="21"/>
              </w:rPr>
              <w:t>易方达全球医药行业混合型发起式证券投资基金</w:t>
            </w:r>
          </w:p>
        </w:tc>
        <w:tc>
          <w:tcPr>
            <w:tcW w:w="1559" w:type="dxa"/>
            <w:shd w:val="clear" w:color="000000" w:fill="FFFFFF"/>
            <w:noWrap/>
            <w:vAlign w:val="center"/>
            <w:hideMark/>
          </w:tcPr>
          <w:p w:rsidR="00563015" w:rsidRPr="00563015" w:rsidRDefault="001235E2" w:rsidP="00563015">
            <w:pPr>
              <w:widowControl/>
              <w:jc w:val="right"/>
              <w:rPr>
                <w:rFonts w:ascii="宋体" w:hAnsi="宋体" w:cs="宋体"/>
                <w:color w:val="000000"/>
                <w:kern w:val="0"/>
                <w:szCs w:val="21"/>
              </w:rPr>
            </w:pPr>
            <w:r w:rsidRPr="00563015">
              <w:rPr>
                <w:rFonts w:ascii="宋体" w:hAnsi="宋体" w:cs="宋体" w:hint="eastAsia"/>
                <w:color w:val="000000"/>
                <w:kern w:val="0"/>
                <w:szCs w:val="21"/>
              </w:rPr>
              <w:t>544,900</w:t>
            </w:r>
          </w:p>
        </w:tc>
        <w:tc>
          <w:tcPr>
            <w:tcW w:w="1701" w:type="dxa"/>
            <w:shd w:val="clear" w:color="000000" w:fill="FFFFFF"/>
            <w:noWrap/>
            <w:vAlign w:val="center"/>
            <w:hideMark/>
          </w:tcPr>
          <w:p w:rsidR="00563015" w:rsidRPr="00563015" w:rsidRDefault="001235E2" w:rsidP="00563015">
            <w:pPr>
              <w:widowControl/>
              <w:jc w:val="right"/>
              <w:rPr>
                <w:rFonts w:ascii="宋体" w:hAnsi="宋体" w:cs="宋体"/>
                <w:color w:val="000000"/>
                <w:kern w:val="0"/>
                <w:szCs w:val="21"/>
              </w:rPr>
            </w:pPr>
            <w:r w:rsidRPr="00563015">
              <w:rPr>
                <w:rFonts w:ascii="宋体" w:hAnsi="宋体" w:cs="宋体" w:hint="eastAsia"/>
                <w:color w:val="000000"/>
                <w:kern w:val="0"/>
                <w:szCs w:val="21"/>
              </w:rPr>
              <w:t>12,276,597.00</w:t>
            </w:r>
          </w:p>
        </w:tc>
        <w:tc>
          <w:tcPr>
            <w:tcW w:w="1276" w:type="dxa"/>
            <w:shd w:val="clear" w:color="auto" w:fill="auto"/>
            <w:noWrap/>
            <w:vAlign w:val="center"/>
            <w:hideMark/>
          </w:tcPr>
          <w:p w:rsidR="00563015" w:rsidRPr="00563015" w:rsidRDefault="001235E2" w:rsidP="00563015">
            <w:pPr>
              <w:widowControl/>
              <w:jc w:val="center"/>
              <w:rPr>
                <w:rFonts w:ascii="宋体" w:hAnsi="宋体" w:cs="宋体"/>
                <w:color w:val="000000"/>
                <w:kern w:val="0"/>
                <w:szCs w:val="21"/>
              </w:rPr>
            </w:pPr>
            <w:r w:rsidRPr="00563015">
              <w:rPr>
                <w:rFonts w:ascii="宋体" w:hAnsi="宋体" w:cs="宋体" w:hint="eastAsia"/>
                <w:color w:val="000000"/>
                <w:kern w:val="0"/>
                <w:szCs w:val="21"/>
              </w:rPr>
              <w:t>是</w:t>
            </w:r>
          </w:p>
        </w:tc>
      </w:tr>
      <w:tr w:rsidR="00E24C2B" w:rsidTr="00563015">
        <w:trPr>
          <w:trHeight w:val="290"/>
        </w:trPr>
        <w:tc>
          <w:tcPr>
            <w:tcW w:w="3828" w:type="dxa"/>
            <w:shd w:val="clear" w:color="auto" w:fill="auto"/>
            <w:noWrap/>
            <w:vAlign w:val="center"/>
            <w:hideMark/>
          </w:tcPr>
          <w:p w:rsidR="00563015" w:rsidRPr="00563015" w:rsidRDefault="001235E2" w:rsidP="00563015">
            <w:pPr>
              <w:widowControl/>
              <w:jc w:val="center"/>
              <w:rPr>
                <w:rFonts w:ascii="宋体" w:hAnsi="宋体" w:cs="宋体"/>
                <w:color w:val="000000"/>
                <w:kern w:val="0"/>
                <w:szCs w:val="21"/>
              </w:rPr>
            </w:pPr>
            <w:r w:rsidRPr="00563015">
              <w:rPr>
                <w:rFonts w:ascii="宋体" w:hAnsi="宋体" w:cs="宋体" w:hint="eastAsia"/>
                <w:color w:val="000000"/>
                <w:kern w:val="0"/>
                <w:szCs w:val="21"/>
              </w:rPr>
              <w:t>易方达全球成长精选混合型证券投资基金（</w:t>
            </w:r>
            <w:r w:rsidRPr="00563015">
              <w:rPr>
                <w:rFonts w:ascii="宋体" w:hAnsi="宋体" w:cs="宋体" w:hint="eastAsia"/>
                <w:color w:val="000000"/>
                <w:kern w:val="0"/>
                <w:szCs w:val="21"/>
              </w:rPr>
              <w:t>QDII</w:t>
            </w:r>
            <w:r w:rsidRPr="00563015">
              <w:rPr>
                <w:rFonts w:ascii="宋体" w:hAnsi="宋体" w:cs="宋体" w:hint="eastAsia"/>
                <w:color w:val="000000"/>
                <w:kern w:val="0"/>
                <w:szCs w:val="21"/>
              </w:rPr>
              <w:t>）</w:t>
            </w:r>
          </w:p>
        </w:tc>
        <w:tc>
          <w:tcPr>
            <w:tcW w:w="1559" w:type="dxa"/>
            <w:shd w:val="clear" w:color="000000" w:fill="FFFFFF"/>
            <w:noWrap/>
            <w:vAlign w:val="center"/>
            <w:hideMark/>
          </w:tcPr>
          <w:p w:rsidR="00563015" w:rsidRPr="00563015" w:rsidRDefault="001235E2" w:rsidP="00563015">
            <w:pPr>
              <w:widowControl/>
              <w:jc w:val="right"/>
              <w:rPr>
                <w:rFonts w:ascii="宋体" w:hAnsi="宋体" w:cs="宋体"/>
                <w:color w:val="000000"/>
                <w:kern w:val="0"/>
                <w:szCs w:val="21"/>
              </w:rPr>
            </w:pPr>
            <w:r w:rsidRPr="00563015">
              <w:rPr>
                <w:rFonts w:ascii="宋体" w:hAnsi="宋体" w:cs="宋体" w:hint="eastAsia"/>
                <w:color w:val="000000"/>
                <w:kern w:val="0"/>
                <w:szCs w:val="21"/>
              </w:rPr>
              <w:t>131,600</w:t>
            </w:r>
          </w:p>
        </w:tc>
        <w:tc>
          <w:tcPr>
            <w:tcW w:w="1701" w:type="dxa"/>
            <w:shd w:val="clear" w:color="000000" w:fill="FFFFFF"/>
            <w:noWrap/>
            <w:vAlign w:val="center"/>
            <w:hideMark/>
          </w:tcPr>
          <w:p w:rsidR="00563015" w:rsidRPr="00563015" w:rsidRDefault="001235E2" w:rsidP="00563015">
            <w:pPr>
              <w:widowControl/>
              <w:jc w:val="right"/>
              <w:rPr>
                <w:rFonts w:ascii="宋体" w:hAnsi="宋体" w:cs="宋体"/>
                <w:color w:val="000000"/>
                <w:kern w:val="0"/>
                <w:szCs w:val="21"/>
              </w:rPr>
            </w:pPr>
            <w:r w:rsidRPr="00563015">
              <w:rPr>
                <w:rFonts w:ascii="宋体" w:hAnsi="宋体" w:cs="宋体" w:hint="eastAsia"/>
                <w:color w:val="000000"/>
                <w:kern w:val="0"/>
                <w:szCs w:val="21"/>
              </w:rPr>
              <w:t>2,964,948.00</w:t>
            </w:r>
          </w:p>
        </w:tc>
        <w:tc>
          <w:tcPr>
            <w:tcW w:w="1276" w:type="dxa"/>
            <w:shd w:val="clear" w:color="auto" w:fill="auto"/>
            <w:noWrap/>
            <w:vAlign w:val="center"/>
            <w:hideMark/>
          </w:tcPr>
          <w:p w:rsidR="00563015" w:rsidRPr="00563015" w:rsidRDefault="001235E2" w:rsidP="00563015">
            <w:pPr>
              <w:widowControl/>
              <w:jc w:val="center"/>
              <w:rPr>
                <w:rFonts w:ascii="宋体" w:hAnsi="宋体" w:cs="宋体"/>
                <w:color w:val="000000"/>
                <w:kern w:val="0"/>
                <w:szCs w:val="21"/>
              </w:rPr>
            </w:pPr>
            <w:r w:rsidRPr="00563015">
              <w:rPr>
                <w:rFonts w:ascii="宋体" w:hAnsi="宋体" w:cs="宋体" w:hint="eastAsia"/>
                <w:color w:val="000000"/>
                <w:kern w:val="0"/>
                <w:szCs w:val="21"/>
              </w:rPr>
              <w:t>否</w:t>
            </w:r>
          </w:p>
        </w:tc>
      </w:tr>
      <w:tr w:rsidR="00E24C2B" w:rsidTr="00563015">
        <w:trPr>
          <w:trHeight w:val="290"/>
        </w:trPr>
        <w:tc>
          <w:tcPr>
            <w:tcW w:w="3828" w:type="dxa"/>
            <w:shd w:val="clear" w:color="auto" w:fill="auto"/>
            <w:noWrap/>
            <w:vAlign w:val="center"/>
            <w:hideMark/>
          </w:tcPr>
          <w:p w:rsidR="00563015" w:rsidRPr="00563015" w:rsidRDefault="001235E2" w:rsidP="00563015">
            <w:pPr>
              <w:widowControl/>
              <w:jc w:val="center"/>
              <w:rPr>
                <w:rFonts w:ascii="宋体" w:hAnsi="宋体" w:cs="宋体"/>
                <w:color w:val="000000"/>
                <w:kern w:val="0"/>
                <w:szCs w:val="21"/>
              </w:rPr>
            </w:pPr>
            <w:r w:rsidRPr="00563015">
              <w:rPr>
                <w:rFonts w:ascii="宋体" w:hAnsi="宋体" w:cs="宋体" w:hint="eastAsia"/>
                <w:color w:val="000000"/>
                <w:kern w:val="0"/>
                <w:szCs w:val="21"/>
              </w:rPr>
              <w:t>易方达全球优质企业混合型证券投资基金（</w:t>
            </w:r>
            <w:r w:rsidRPr="00563015">
              <w:rPr>
                <w:rFonts w:ascii="宋体" w:hAnsi="宋体" w:cs="宋体" w:hint="eastAsia"/>
                <w:color w:val="000000"/>
                <w:kern w:val="0"/>
                <w:szCs w:val="21"/>
              </w:rPr>
              <w:t>QDII</w:t>
            </w:r>
            <w:r w:rsidRPr="00563015">
              <w:rPr>
                <w:rFonts w:ascii="宋体" w:hAnsi="宋体" w:cs="宋体" w:hint="eastAsia"/>
                <w:color w:val="000000"/>
                <w:kern w:val="0"/>
                <w:szCs w:val="21"/>
              </w:rPr>
              <w:t>）</w:t>
            </w:r>
          </w:p>
        </w:tc>
        <w:tc>
          <w:tcPr>
            <w:tcW w:w="1559" w:type="dxa"/>
            <w:shd w:val="clear" w:color="000000" w:fill="FFFFFF"/>
            <w:noWrap/>
            <w:vAlign w:val="center"/>
            <w:hideMark/>
          </w:tcPr>
          <w:p w:rsidR="00563015" w:rsidRPr="00563015" w:rsidRDefault="001235E2" w:rsidP="00563015">
            <w:pPr>
              <w:widowControl/>
              <w:jc w:val="right"/>
              <w:rPr>
                <w:rFonts w:ascii="宋体" w:hAnsi="宋体" w:cs="宋体"/>
                <w:color w:val="000000"/>
                <w:kern w:val="0"/>
                <w:szCs w:val="21"/>
              </w:rPr>
            </w:pPr>
            <w:r w:rsidRPr="00563015">
              <w:rPr>
                <w:rFonts w:ascii="宋体" w:hAnsi="宋体" w:cs="宋体" w:hint="eastAsia"/>
                <w:color w:val="000000"/>
                <w:kern w:val="0"/>
                <w:szCs w:val="21"/>
              </w:rPr>
              <w:t>164,500</w:t>
            </w:r>
          </w:p>
        </w:tc>
        <w:tc>
          <w:tcPr>
            <w:tcW w:w="1701" w:type="dxa"/>
            <w:shd w:val="clear" w:color="000000" w:fill="FFFFFF"/>
            <w:noWrap/>
            <w:vAlign w:val="center"/>
            <w:hideMark/>
          </w:tcPr>
          <w:p w:rsidR="00563015" w:rsidRPr="00563015" w:rsidRDefault="001235E2" w:rsidP="00563015">
            <w:pPr>
              <w:widowControl/>
              <w:jc w:val="right"/>
              <w:rPr>
                <w:rFonts w:ascii="宋体" w:hAnsi="宋体" w:cs="宋体"/>
                <w:color w:val="000000"/>
                <w:kern w:val="0"/>
                <w:szCs w:val="21"/>
              </w:rPr>
            </w:pPr>
            <w:r w:rsidRPr="00563015">
              <w:rPr>
                <w:rFonts w:ascii="宋体" w:hAnsi="宋体" w:cs="宋体" w:hint="eastAsia"/>
                <w:color w:val="000000"/>
                <w:kern w:val="0"/>
                <w:szCs w:val="21"/>
              </w:rPr>
              <w:t>3,706,185.00</w:t>
            </w:r>
          </w:p>
        </w:tc>
        <w:tc>
          <w:tcPr>
            <w:tcW w:w="1276" w:type="dxa"/>
            <w:shd w:val="clear" w:color="auto" w:fill="auto"/>
            <w:noWrap/>
            <w:vAlign w:val="center"/>
            <w:hideMark/>
          </w:tcPr>
          <w:p w:rsidR="00563015" w:rsidRPr="00563015" w:rsidRDefault="001235E2" w:rsidP="00563015">
            <w:pPr>
              <w:widowControl/>
              <w:jc w:val="center"/>
              <w:rPr>
                <w:rFonts w:ascii="宋体" w:hAnsi="宋体" w:cs="宋体"/>
                <w:color w:val="000000"/>
                <w:kern w:val="0"/>
                <w:szCs w:val="21"/>
              </w:rPr>
            </w:pPr>
            <w:r w:rsidRPr="00563015">
              <w:rPr>
                <w:rFonts w:ascii="宋体" w:hAnsi="宋体" w:cs="宋体" w:hint="eastAsia"/>
                <w:color w:val="000000"/>
                <w:kern w:val="0"/>
                <w:szCs w:val="21"/>
              </w:rPr>
              <w:t>否</w:t>
            </w:r>
          </w:p>
        </w:tc>
      </w:tr>
      <w:tr w:rsidR="00E24C2B" w:rsidTr="00563015">
        <w:trPr>
          <w:trHeight w:val="290"/>
        </w:trPr>
        <w:tc>
          <w:tcPr>
            <w:tcW w:w="3828" w:type="dxa"/>
            <w:shd w:val="clear" w:color="auto" w:fill="auto"/>
            <w:noWrap/>
            <w:vAlign w:val="center"/>
            <w:hideMark/>
          </w:tcPr>
          <w:p w:rsidR="00563015" w:rsidRPr="00563015" w:rsidRDefault="001235E2" w:rsidP="00563015">
            <w:pPr>
              <w:widowControl/>
              <w:jc w:val="center"/>
              <w:rPr>
                <w:rFonts w:ascii="宋体" w:hAnsi="宋体" w:cs="宋体"/>
                <w:color w:val="000000"/>
                <w:kern w:val="0"/>
                <w:szCs w:val="21"/>
              </w:rPr>
            </w:pPr>
            <w:r w:rsidRPr="00563015">
              <w:rPr>
                <w:rFonts w:ascii="宋体" w:hAnsi="宋体" w:cs="宋体" w:hint="eastAsia"/>
                <w:color w:val="000000"/>
                <w:kern w:val="0"/>
                <w:szCs w:val="21"/>
              </w:rPr>
              <w:t>易方达全球配置混合型证券投资基金（</w:t>
            </w:r>
            <w:r w:rsidRPr="00563015">
              <w:rPr>
                <w:rFonts w:ascii="宋体" w:hAnsi="宋体" w:cs="宋体" w:hint="eastAsia"/>
                <w:color w:val="000000"/>
                <w:kern w:val="0"/>
                <w:szCs w:val="21"/>
              </w:rPr>
              <w:t>QDII</w:t>
            </w:r>
            <w:r w:rsidRPr="00563015">
              <w:rPr>
                <w:rFonts w:ascii="宋体" w:hAnsi="宋体" w:cs="宋体" w:hint="eastAsia"/>
                <w:color w:val="000000"/>
                <w:kern w:val="0"/>
                <w:szCs w:val="21"/>
              </w:rPr>
              <w:t>）</w:t>
            </w:r>
          </w:p>
        </w:tc>
        <w:tc>
          <w:tcPr>
            <w:tcW w:w="1559" w:type="dxa"/>
            <w:shd w:val="clear" w:color="000000" w:fill="FFFFFF"/>
            <w:noWrap/>
            <w:vAlign w:val="center"/>
            <w:hideMark/>
          </w:tcPr>
          <w:p w:rsidR="00563015" w:rsidRPr="00563015" w:rsidRDefault="001235E2" w:rsidP="00563015">
            <w:pPr>
              <w:widowControl/>
              <w:jc w:val="right"/>
              <w:rPr>
                <w:rFonts w:ascii="宋体" w:hAnsi="宋体" w:cs="宋体"/>
                <w:color w:val="000000"/>
                <w:kern w:val="0"/>
                <w:szCs w:val="21"/>
              </w:rPr>
            </w:pPr>
            <w:r w:rsidRPr="00563015">
              <w:rPr>
                <w:rFonts w:ascii="宋体" w:hAnsi="宋体" w:cs="宋体" w:hint="eastAsia"/>
                <w:color w:val="000000"/>
                <w:kern w:val="0"/>
                <w:szCs w:val="21"/>
              </w:rPr>
              <w:t>59,200</w:t>
            </w:r>
          </w:p>
        </w:tc>
        <w:tc>
          <w:tcPr>
            <w:tcW w:w="1701" w:type="dxa"/>
            <w:shd w:val="clear" w:color="000000" w:fill="FFFFFF"/>
            <w:noWrap/>
            <w:vAlign w:val="center"/>
            <w:hideMark/>
          </w:tcPr>
          <w:p w:rsidR="00563015" w:rsidRPr="00563015" w:rsidRDefault="001235E2" w:rsidP="00563015">
            <w:pPr>
              <w:widowControl/>
              <w:jc w:val="right"/>
              <w:rPr>
                <w:rFonts w:ascii="宋体" w:hAnsi="宋体" w:cs="宋体"/>
                <w:color w:val="000000"/>
                <w:kern w:val="0"/>
                <w:szCs w:val="21"/>
              </w:rPr>
            </w:pPr>
            <w:r w:rsidRPr="00563015">
              <w:rPr>
                <w:rFonts w:ascii="宋体" w:hAnsi="宋体" w:cs="宋体" w:hint="eastAsia"/>
                <w:color w:val="000000"/>
                <w:kern w:val="0"/>
                <w:szCs w:val="21"/>
              </w:rPr>
              <w:t>1,333,776.00</w:t>
            </w:r>
          </w:p>
        </w:tc>
        <w:tc>
          <w:tcPr>
            <w:tcW w:w="1276" w:type="dxa"/>
            <w:shd w:val="clear" w:color="auto" w:fill="auto"/>
            <w:noWrap/>
            <w:vAlign w:val="center"/>
            <w:hideMark/>
          </w:tcPr>
          <w:p w:rsidR="00563015" w:rsidRPr="00563015" w:rsidRDefault="001235E2" w:rsidP="00563015">
            <w:pPr>
              <w:widowControl/>
              <w:jc w:val="center"/>
              <w:rPr>
                <w:rFonts w:ascii="宋体" w:hAnsi="宋体" w:cs="宋体"/>
                <w:color w:val="000000"/>
                <w:kern w:val="0"/>
                <w:szCs w:val="21"/>
              </w:rPr>
            </w:pPr>
            <w:r w:rsidRPr="00563015">
              <w:rPr>
                <w:rFonts w:ascii="宋体" w:hAnsi="宋体" w:cs="宋体" w:hint="eastAsia"/>
                <w:color w:val="000000"/>
                <w:kern w:val="0"/>
                <w:szCs w:val="21"/>
              </w:rPr>
              <w:t>否</w:t>
            </w:r>
          </w:p>
        </w:tc>
      </w:tr>
    </w:tbl>
    <w:p w:rsidR="00177B3B" w:rsidRPr="001F12D1" w:rsidRDefault="00177B3B" w:rsidP="00177B3B">
      <w:pPr>
        <w:widowControl/>
        <w:spacing w:line="360" w:lineRule="auto"/>
        <w:jc w:val="left"/>
        <w:rPr>
          <w:rFonts w:asciiTheme="majorEastAsia" w:eastAsiaTheme="majorEastAsia" w:hAnsiTheme="majorEastAsia"/>
          <w:kern w:val="0"/>
          <w:sz w:val="24"/>
          <w:szCs w:val="24"/>
        </w:rPr>
      </w:pPr>
    </w:p>
    <w:p w:rsidR="00177B3B" w:rsidRPr="001F12D1" w:rsidRDefault="001235E2" w:rsidP="00177B3B">
      <w:pPr>
        <w:widowControl/>
        <w:spacing w:line="360" w:lineRule="auto"/>
        <w:ind w:firstLine="480"/>
        <w:jc w:val="left"/>
        <w:rPr>
          <w:rFonts w:asciiTheme="majorEastAsia" w:eastAsiaTheme="majorEastAsia" w:hAnsiTheme="majorEastAsia" w:cs="宋体"/>
          <w:kern w:val="0"/>
          <w:sz w:val="24"/>
        </w:rPr>
      </w:pPr>
      <w:r w:rsidRPr="001F12D1">
        <w:rPr>
          <w:rFonts w:asciiTheme="majorEastAsia" w:eastAsiaTheme="majorEastAsia" w:hAnsiTheme="majorEastAsia" w:cs="宋体" w:hint="eastAsia"/>
          <w:kern w:val="0"/>
          <w:sz w:val="24"/>
        </w:rPr>
        <w:t>特此公告。</w:t>
      </w:r>
    </w:p>
    <w:p w:rsidR="00177B3B" w:rsidRPr="001F12D1" w:rsidRDefault="001235E2" w:rsidP="00177B3B">
      <w:pPr>
        <w:widowControl/>
        <w:spacing w:line="360" w:lineRule="auto"/>
        <w:ind w:firstLine="480"/>
        <w:jc w:val="left"/>
        <w:rPr>
          <w:rFonts w:asciiTheme="majorEastAsia" w:eastAsiaTheme="majorEastAsia" w:hAnsiTheme="majorEastAsia"/>
          <w:kern w:val="0"/>
          <w:sz w:val="24"/>
        </w:rPr>
      </w:pPr>
      <w:r w:rsidRPr="001F12D1">
        <w:rPr>
          <w:rFonts w:asciiTheme="majorEastAsia" w:eastAsiaTheme="majorEastAsia" w:hAnsiTheme="majorEastAsia"/>
          <w:kern w:val="0"/>
          <w:sz w:val="24"/>
        </w:rPr>
        <w:t> </w:t>
      </w:r>
    </w:p>
    <w:p w:rsidR="00177B3B" w:rsidRPr="001F12D1" w:rsidRDefault="001235E2" w:rsidP="00177B3B">
      <w:pPr>
        <w:widowControl/>
        <w:ind w:firstLineChars="200" w:firstLine="480"/>
        <w:jc w:val="right"/>
        <w:rPr>
          <w:rFonts w:asciiTheme="majorEastAsia" w:eastAsiaTheme="majorEastAsia" w:hAnsiTheme="majorEastAsia" w:cs="宋体"/>
          <w:kern w:val="0"/>
          <w:sz w:val="24"/>
        </w:rPr>
      </w:pPr>
      <w:r w:rsidRPr="001F12D1">
        <w:rPr>
          <w:rFonts w:asciiTheme="majorEastAsia" w:eastAsiaTheme="majorEastAsia" w:hAnsiTheme="majorEastAsia"/>
          <w:kern w:val="0"/>
          <w:sz w:val="24"/>
        </w:rPr>
        <w:t xml:space="preserve">    </w:t>
      </w:r>
      <w:r w:rsidRPr="001F12D1">
        <w:rPr>
          <w:rFonts w:asciiTheme="majorEastAsia" w:eastAsiaTheme="majorEastAsia" w:hAnsiTheme="majorEastAsia" w:cs="宋体" w:hint="eastAsia"/>
          <w:kern w:val="0"/>
          <w:sz w:val="24"/>
        </w:rPr>
        <w:t xml:space="preserve">　　　　　　　</w:t>
      </w:r>
    </w:p>
    <w:p w:rsidR="00177B3B" w:rsidRPr="00F16753" w:rsidRDefault="001235E2" w:rsidP="00177B3B">
      <w:pPr>
        <w:widowControl/>
        <w:ind w:right="723" w:firstLineChars="200" w:firstLine="480"/>
        <w:jc w:val="right"/>
        <w:rPr>
          <w:rFonts w:asciiTheme="majorEastAsia" w:eastAsiaTheme="majorEastAsia" w:hAnsiTheme="majorEastAsia" w:cs="宋体"/>
          <w:kern w:val="0"/>
          <w:sz w:val="24"/>
        </w:rPr>
      </w:pPr>
      <w:r w:rsidRPr="00F16753">
        <w:rPr>
          <w:rFonts w:asciiTheme="majorEastAsia" w:eastAsiaTheme="majorEastAsia" w:hAnsiTheme="majorEastAsia" w:cs="宋体" w:hint="eastAsia"/>
          <w:kern w:val="0"/>
          <w:sz w:val="24"/>
        </w:rPr>
        <w:t>易方达基金管理有限公司</w:t>
      </w:r>
    </w:p>
    <w:p w:rsidR="00177B3B" w:rsidRPr="00F16753" w:rsidRDefault="001235E2" w:rsidP="00177B3B">
      <w:pPr>
        <w:widowControl/>
        <w:wordWrap w:val="0"/>
        <w:ind w:right="964"/>
        <w:jc w:val="right"/>
        <w:rPr>
          <w:rFonts w:asciiTheme="majorEastAsia" w:eastAsiaTheme="majorEastAsia" w:hAnsiTheme="majorEastAsia" w:cs="宋体"/>
          <w:kern w:val="0"/>
          <w:szCs w:val="21"/>
        </w:rPr>
      </w:pPr>
      <w:r w:rsidRPr="00F16753">
        <w:rPr>
          <w:rFonts w:asciiTheme="majorEastAsia" w:eastAsiaTheme="majorEastAsia" w:hAnsiTheme="majorEastAsia" w:cs="宋体" w:hint="eastAsia"/>
          <w:bCs/>
          <w:kern w:val="0"/>
          <w:szCs w:val="21"/>
        </w:rPr>
        <w:t>202</w:t>
      </w:r>
      <w:r w:rsidR="009E62F0" w:rsidRPr="00F16753">
        <w:rPr>
          <w:rFonts w:asciiTheme="majorEastAsia" w:eastAsiaTheme="majorEastAsia" w:hAnsiTheme="majorEastAsia" w:cs="宋体"/>
          <w:bCs/>
          <w:kern w:val="0"/>
          <w:szCs w:val="21"/>
        </w:rPr>
        <w:t>5</w:t>
      </w:r>
      <w:r w:rsidRPr="00F16753">
        <w:rPr>
          <w:rFonts w:asciiTheme="majorEastAsia" w:eastAsiaTheme="majorEastAsia" w:hAnsiTheme="majorEastAsia" w:cs="宋体" w:hint="eastAsia"/>
          <w:bCs/>
          <w:kern w:val="0"/>
          <w:szCs w:val="21"/>
        </w:rPr>
        <w:t>年</w:t>
      </w:r>
      <w:r w:rsidR="00FF3162">
        <w:rPr>
          <w:rFonts w:asciiTheme="majorEastAsia" w:eastAsiaTheme="majorEastAsia" w:hAnsiTheme="majorEastAsia" w:cs="宋体"/>
          <w:bCs/>
          <w:kern w:val="0"/>
          <w:szCs w:val="21"/>
        </w:rPr>
        <w:t>6</w:t>
      </w:r>
      <w:r w:rsidRPr="00F16753">
        <w:rPr>
          <w:rFonts w:asciiTheme="majorEastAsia" w:eastAsiaTheme="majorEastAsia" w:hAnsiTheme="majorEastAsia" w:cs="宋体" w:hint="eastAsia"/>
          <w:bCs/>
          <w:kern w:val="0"/>
          <w:szCs w:val="21"/>
        </w:rPr>
        <w:t>月</w:t>
      </w:r>
      <w:r w:rsidR="00041FCA">
        <w:rPr>
          <w:rFonts w:asciiTheme="majorEastAsia" w:eastAsiaTheme="majorEastAsia" w:hAnsiTheme="majorEastAsia" w:cs="宋体"/>
          <w:bCs/>
          <w:kern w:val="0"/>
          <w:szCs w:val="21"/>
        </w:rPr>
        <w:t>21</w:t>
      </w:r>
      <w:r w:rsidRPr="00F16753">
        <w:rPr>
          <w:rFonts w:asciiTheme="majorEastAsia" w:eastAsiaTheme="majorEastAsia" w:hAnsiTheme="majorEastAsia" w:cs="宋体" w:hint="eastAsia"/>
          <w:bCs/>
          <w:kern w:val="0"/>
          <w:szCs w:val="21"/>
        </w:rPr>
        <w:t>日</w:t>
      </w:r>
    </w:p>
    <w:p w:rsidR="00177B3B" w:rsidRPr="001F12D1" w:rsidRDefault="00177B3B" w:rsidP="00177B3B">
      <w:pPr>
        <w:rPr>
          <w:rFonts w:asciiTheme="majorEastAsia" w:eastAsiaTheme="majorEastAsia" w:hAnsiTheme="majorEastAsia"/>
        </w:rPr>
      </w:pPr>
    </w:p>
    <w:p w:rsidR="00177B3B" w:rsidRPr="001F12D1" w:rsidRDefault="00177B3B" w:rsidP="00177B3B">
      <w:pPr>
        <w:rPr>
          <w:rFonts w:asciiTheme="majorEastAsia" w:eastAsiaTheme="majorEastAsia" w:hAnsiTheme="majorEastAsia"/>
        </w:rPr>
      </w:pPr>
    </w:p>
    <w:p w:rsidR="00F561F7" w:rsidRPr="00177B3B" w:rsidRDefault="00F561F7" w:rsidP="00C85A50"/>
    <w:sectPr w:rsidR="00F561F7" w:rsidRPr="00177B3B" w:rsidSect="006D0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idp.efunds.com.cn/api/v1/backend/docSyncController/downloadAnnFile.json?force=true&amp;fileName=%E6%98%93%E6%96%B9%E8%BE%BE%E5%9F%BA%E9%87%91%E7%AE%A1%E7%90%86%E6%9C%89%E9%99%90%E5%85%AC%E5%8F%B8%E5%85%B3%E4%BA%8E%E6%97%97%E4%B8%8B%E5%9F%BA%E9%87%91%E7%94%B3%E8%B4%AD%E4%B8%AD%E5%9B%BD%E7%A7%BB%E5%8A%A8%E6%9C%89%E9%99%90%E5%85%AC%E5%8F%B8%E9%A6%96%E6%AC%A1%E5%85%AC%E5%BC%80%E5%8F%91%E8%A1%8C%E8%82%A1%E7%A5%A8%E7%9A%84%E5%85%AC%E5%91%8A.docx&amp;fileId=ANN_DOC_11453&amp;t=1640338996799"/>
  </w:docVars>
  <w:rsids>
    <w:rsidRoot w:val="00D40F64"/>
    <w:rsid w:val="00037F8D"/>
    <w:rsid w:val="00041FCA"/>
    <w:rsid w:val="00083996"/>
    <w:rsid w:val="000E1D22"/>
    <w:rsid w:val="000F1B3C"/>
    <w:rsid w:val="00104016"/>
    <w:rsid w:val="001235E2"/>
    <w:rsid w:val="0012729F"/>
    <w:rsid w:val="00164126"/>
    <w:rsid w:val="00177B3B"/>
    <w:rsid w:val="0018047E"/>
    <w:rsid w:val="001C62C9"/>
    <w:rsid w:val="001E31BA"/>
    <w:rsid w:val="001E4F51"/>
    <w:rsid w:val="001F12D1"/>
    <w:rsid w:val="0022203A"/>
    <w:rsid w:val="00225437"/>
    <w:rsid w:val="00282BB5"/>
    <w:rsid w:val="002A359B"/>
    <w:rsid w:val="002B36C1"/>
    <w:rsid w:val="002E42F7"/>
    <w:rsid w:val="002F12C4"/>
    <w:rsid w:val="002F32A5"/>
    <w:rsid w:val="00304C1B"/>
    <w:rsid w:val="00321AEA"/>
    <w:rsid w:val="0032467A"/>
    <w:rsid w:val="00351EB9"/>
    <w:rsid w:val="003A7524"/>
    <w:rsid w:val="003C560F"/>
    <w:rsid w:val="003F0261"/>
    <w:rsid w:val="00402751"/>
    <w:rsid w:val="0041754A"/>
    <w:rsid w:val="0042083E"/>
    <w:rsid w:val="00425E3F"/>
    <w:rsid w:val="00434C61"/>
    <w:rsid w:val="00445FC6"/>
    <w:rsid w:val="00486C86"/>
    <w:rsid w:val="004B32FF"/>
    <w:rsid w:val="004E5A83"/>
    <w:rsid w:val="004F1B0A"/>
    <w:rsid w:val="005116B8"/>
    <w:rsid w:val="0052196E"/>
    <w:rsid w:val="00563015"/>
    <w:rsid w:val="00576FC1"/>
    <w:rsid w:val="00583174"/>
    <w:rsid w:val="005972B2"/>
    <w:rsid w:val="005B7224"/>
    <w:rsid w:val="005D1206"/>
    <w:rsid w:val="005D572F"/>
    <w:rsid w:val="00632910"/>
    <w:rsid w:val="00636371"/>
    <w:rsid w:val="00643147"/>
    <w:rsid w:val="00670715"/>
    <w:rsid w:val="006765A6"/>
    <w:rsid w:val="00682D73"/>
    <w:rsid w:val="0069676A"/>
    <w:rsid w:val="006B006F"/>
    <w:rsid w:val="006B6352"/>
    <w:rsid w:val="006C066C"/>
    <w:rsid w:val="006D05F5"/>
    <w:rsid w:val="007124FD"/>
    <w:rsid w:val="007263A6"/>
    <w:rsid w:val="007719BC"/>
    <w:rsid w:val="0077544C"/>
    <w:rsid w:val="007A3C4F"/>
    <w:rsid w:val="008578F7"/>
    <w:rsid w:val="008E4A88"/>
    <w:rsid w:val="008F2999"/>
    <w:rsid w:val="009159C4"/>
    <w:rsid w:val="00933C8F"/>
    <w:rsid w:val="00937D43"/>
    <w:rsid w:val="00954324"/>
    <w:rsid w:val="009543E9"/>
    <w:rsid w:val="0097471D"/>
    <w:rsid w:val="00975782"/>
    <w:rsid w:val="009E62F0"/>
    <w:rsid w:val="009F5D05"/>
    <w:rsid w:val="00A24DE8"/>
    <w:rsid w:val="00A414E5"/>
    <w:rsid w:val="00A528BA"/>
    <w:rsid w:val="00A60E9F"/>
    <w:rsid w:val="00AD1CEF"/>
    <w:rsid w:val="00AF7FC5"/>
    <w:rsid w:val="00B10349"/>
    <w:rsid w:val="00B20F09"/>
    <w:rsid w:val="00B56F95"/>
    <w:rsid w:val="00BC0DAA"/>
    <w:rsid w:val="00C251FE"/>
    <w:rsid w:val="00C35CB6"/>
    <w:rsid w:val="00C67BB8"/>
    <w:rsid w:val="00C85A50"/>
    <w:rsid w:val="00D11E8C"/>
    <w:rsid w:val="00D34298"/>
    <w:rsid w:val="00D40F64"/>
    <w:rsid w:val="00D503EF"/>
    <w:rsid w:val="00D75BCE"/>
    <w:rsid w:val="00DB7585"/>
    <w:rsid w:val="00DF5CDD"/>
    <w:rsid w:val="00E00FAE"/>
    <w:rsid w:val="00E13983"/>
    <w:rsid w:val="00E24C2B"/>
    <w:rsid w:val="00E83548"/>
    <w:rsid w:val="00E905FC"/>
    <w:rsid w:val="00EC7FBE"/>
    <w:rsid w:val="00EE1D32"/>
    <w:rsid w:val="00EF58BF"/>
    <w:rsid w:val="00EF791A"/>
    <w:rsid w:val="00F16753"/>
    <w:rsid w:val="00F254EC"/>
    <w:rsid w:val="00F431E2"/>
    <w:rsid w:val="00F561F7"/>
    <w:rsid w:val="00F60BA1"/>
    <w:rsid w:val="00F649D0"/>
    <w:rsid w:val="00F72F45"/>
    <w:rsid w:val="00F830F1"/>
    <w:rsid w:val="00FB3A10"/>
    <w:rsid w:val="00FC6EF0"/>
    <w:rsid w:val="00FF3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C6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434C61"/>
    <w:rPr>
      <w:sz w:val="18"/>
      <w:szCs w:val="18"/>
    </w:rPr>
  </w:style>
  <w:style w:type="paragraph" w:styleId="a4">
    <w:name w:val="footer"/>
    <w:basedOn w:val="a"/>
    <w:link w:val="Char0"/>
    <w:uiPriority w:val="99"/>
    <w:unhideWhenUsed/>
    <w:rsid w:val="00434C61"/>
    <w:pPr>
      <w:tabs>
        <w:tab w:val="center" w:pos="4153"/>
        <w:tab w:val="right" w:pos="8306"/>
      </w:tabs>
      <w:snapToGrid w:val="0"/>
      <w:jc w:val="left"/>
    </w:pPr>
    <w:rPr>
      <w:kern w:val="0"/>
      <w:sz w:val="18"/>
      <w:szCs w:val="18"/>
    </w:rPr>
  </w:style>
  <w:style w:type="character" w:customStyle="1" w:styleId="Char0">
    <w:name w:val="页脚 Char"/>
    <w:link w:val="a4"/>
    <w:uiPriority w:val="99"/>
    <w:rsid w:val="00434C61"/>
    <w:rPr>
      <w:sz w:val="18"/>
      <w:szCs w:val="18"/>
    </w:rPr>
  </w:style>
  <w:style w:type="character" w:styleId="a5">
    <w:name w:val="annotation reference"/>
    <w:semiHidden/>
    <w:rsid w:val="00434C61"/>
    <w:rPr>
      <w:rFonts w:cs="Times New Roman"/>
      <w:sz w:val="21"/>
      <w:szCs w:val="21"/>
    </w:rPr>
  </w:style>
  <w:style w:type="paragraph" w:styleId="a6">
    <w:name w:val="annotation text"/>
    <w:basedOn w:val="a"/>
    <w:link w:val="Char1"/>
    <w:semiHidden/>
    <w:rsid w:val="00434C61"/>
    <w:pPr>
      <w:jc w:val="left"/>
    </w:pPr>
    <w:rPr>
      <w:kern w:val="0"/>
      <w:sz w:val="20"/>
      <w:szCs w:val="20"/>
    </w:rPr>
  </w:style>
  <w:style w:type="character" w:customStyle="1" w:styleId="Char1">
    <w:name w:val="批注文字 Char"/>
    <w:link w:val="a6"/>
    <w:semiHidden/>
    <w:rsid w:val="00434C61"/>
    <w:rPr>
      <w:rFonts w:ascii="Calibri" w:eastAsia="宋体" w:hAnsi="Calibri" w:cs="Times New Roman"/>
    </w:rPr>
  </w:style>
  <w:style w:type="paragraph" w:styleId="a7">
    <w:name w:val="Balloon Text"/>
    <w:basedOn w:val="a"/>
    <w:link w:val="Char2"/>
    <w:uiPriority w:val="99"/>
    <w:semiHidden/>
    <w:unhideWhenUsed/>
    <w:rsid w:val="00434C61"/>
    <w:rPr>
      <w:kern w:val="0"/>
      <w:sz w:val="18"/>
      <w:szCs w:val="18"/>
    </w:rPr>
  </w:style>
  <w:style w:type="character" w:customStyle="1" w:styleId="Char2">
    <w:name w:val="批注框文本 Char"/>
    <w:link w:val="a7"/>
    <w:uiPriority w:val="99"/>
    <w:semiHidden/>
    <w:rsid w:val="00434C61"/>
    <w:rPr>
      <w:rFonts w:ascii="Calibri" w:eastAsia="宋体" w:hAnsi="Calibri" w:cs="Times New Roman"/>
      <w:sz w:val="18"/>
      <w:szCs w:val="18"/>
    </w:rPr>
  </w:style>
  <w:style w:type="character" w:styleId="a8">
    <w:name w:val="Strong"/>
    <w:uiPriority w:val="22"/>
    <w:qFormat/>
    <w:rsid w:val="006B006F"/>
    <w:rPr>
      <w:rFonts w:ascii="Times New Roman" w:hAnsi="Times New Roman" w:cs="Times New Roman" w:hint="default"/>
      <w:b/>
      <w:bCs/>
    </w:rPr>
  </w:style>
  <w:style w:type="paragraph" w:customStyle="1" w:styleId="font14">
    <w:name w:val="font14"/>
    <w:basedOn w:val="a"/>
    <w:uiPriority w:val="99"/>
    <w:rsid w:val="006B006F"/>
    <w:pPr>
      <w:widowControl/>
      <w:spacing w:before="100" w:beforeAutospacing="1" w:after="100" w:afterAutospacing="1" w:line="360" w:lineRule="auto"/>
      <w:jc w:val="left"/>
    </w:pPr>
    <w:rPr>
      <w:rFonts w:ascii="宋体" w:hAnsi="宋体" w:cs="宋体"/>
      <w:kern w:val="0"/>
      <w:sz w:val="19"/>
      <w:szCs w:val="19"/>
    </w:rPr>
  </w:style>
  <w:style w:type="paragraph" w:customStyle="1" w:styleId="Default">
    <w:name w:val="Default"/>
    <w:rsid w:val="006B006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59DF-162F-43E7-BE1B-B898EFA0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4</DocSecurity>
  <Lines>4</Lines>
  <Paragraphs>1</Paragraphs>
  <ScaleCrop>false</ScaleCrop>
  <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2025-06-20T16:01:00Z</dcterms:created>
  <dcterms:modified xsi:type="dcterms:W3CDTF">2025-06-20T16:01:00Z</dcterms:modified>
</cp:coreProperties>
</file>