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3B" w:rsidRPr="001F12D1" w:rsidRDefault="00293F52" w:rsidP="00177B3B">
      <w:pPr>
        <w:pStyle w:val="font14"/>
        <w:jc w:val="center"/>
        <w:rPr>
          <w:rFonts w:asciiTheme="majorEastAsia" w:eastAsiaTheme="majorEastAsia" w:hAnsiTheme="majorEastAsia"/>
        </w:rPr>
      </w:pPr>
      <w:r w:rsidRPr="001F12D1">
        <w:rPr>
          <w:rStyle w:val="a8"/>
          <w:rFonts w:asciiTheme="majorEastAsia" w:eastAsiaTheme="majorEastAsia" w:hAnsiTheme="majorEastAsia" w:hint="eastAsia"/>
          <w:sz w:val="24"/>
          <w:szCs w:val="24"/>
        </w:rPr>
        <w:t>易方达基金管理有限公司</w:t>
      </w:r>
      <w:r w:rsidR="002B36C1">
        <w:rPr>
          <w:rStyle w:val="a8"/>
          <w:rFonts w:asciiTheme="majorEastAsia" w:eastAsiaTheme="majorEastAsia" w:hAnsiTheme="majorEastAsia" w:hint="eastAsia"/>
          <w:sz w:val="24"/>
          <w:szCs w:val="24"/>
        </w:rPr>
        <w:t>关于旗下基金</w:t>
      </w:r>
      <w:r w:rsidRPr="00C251FE">
        <w:rPr>
          <w:rStyle w:val="a8"/>
          <w:rFonts w:asciiTheme="majorEastAsia" w:eastAsiaTheme="majorEastAsia" w:hAnsiTheme="majorEastAsia" w:hint="eastAsia"/>
          <w:sz w:val="24"/>
          <w:szCs w:val="24"/>
        </w:rPr>
        <w:t>关联交易事项的公告</w:t>
      </w:r>
    </w:p>
    <w:p w:rsidR="00177B3B" w:rsidRPr="001F12D1" w:rsidRDefault="00293F52" w:rsidP="00256342">
      <w:pPr>
        <w:pStyle w:val="Default"/>
        <w:spacing w:line="360" w:lineRule="auto"/>
        <w:ind w:firstLineChars="210" w:firstLine="504"/>
        <w:jc w:val="both"/>
        <w:rPr>
          <w:rFonts w:asciiTheme="majorEastAsia" w:eastAsiaTheme="majorEastAsia" w:hAnsiTheme="majorEastAsia"/>
        </w:rPr>
      </w:pPr>
      <w:r w:rsidRPr="00975782">
        <w:rPr>
          <w:rFonts w:asciiTheme="majorEastAsia" w:eastAsiaTheme="majorEastAsia" w:hAnsiTheme="majorEastAsia" w:hint="eastAsia"/>
        </w:rPr>
        <w:t>根据《公开募集证券投资基金运作管理办法》《公开募集证券投资基金信息披露管理</w:t>
      </w:r>
      <w:bookmarkStart w:id="0" w:name="_GoBack"/>
      <w:bookmarkEnd w:id="0"/>
      <w:r w:rsidRPr="00975782">
        <w:rPr>
          <w:rFonts w:asciiTheme="majorEastAsia" w:eastAsiaTheme="majorEastAsia" w:hAnsiTheme="majorEastAsia" w:hint="eastAsia"/>
        </w:rPr>
        <w:t>办法》及相关法律法规、基金合同及招募说明书等规定，在履行规定审批程序并经基金托管人同意后，易方达基金管理有限公司（以下简称“本公司”）旗下部分公募基金参加了佛山市海天</w:t>
      </w:r>
      <w:r>
        <w:rPr>
          <w:rFonts w:asciiTheme="majorEastAsia" w:eastAsiaTheme="majorEastAsia" w:hAnsiTheme="majorEastAsia" w:hint="eastAsia"/>
        </w:rPr>
        <w:t>调味</w:t>
      </w:r>
      <w:r w:rsidRPr="00975782">
        <w:rPr>
          <w:rFonts w:asciiTheme="majorEastAsia" w:eastAsiaTheme="majorEastAsia" w:hAnsiTheme="majorEastAsia" w:hint="eastAsia"/>
        </w:rPr>
        <w:t>食品股份有限公司（以下简称“海天</w:t>
      </w:r>
      <w:r>
        <w:rPr>
          <w:rFonts w:asciiTheme="majorEastAsia" w:eastAsiaTheme="majorEastAsia" w:hAnsiTheme="majorEastAsia" w:hint="eastAsia"/>
        </w:rPr>
        <w:t>味业</w:t>
      </w:r>
      <w:r w:rsidRPr="00975782">
        <w:rPr>
          <w:rFonts w:asciiTheme="majorEastAsia" w:eastAsiaTheme="majorEastAsia" w:hAnsiTheme="majorEastAsia" w:hint="eastAsia"/>
        </w:rPr>
        <w:t>”）于香港联合交易所</w:t>
      </w:r>
      <w:r w:rsidR="00C12D69">
        <w:rPr>
          <w:rFonts w:asciiTheme="majorEastAsia" w:eastAsiaTheme="majorEastAsia" w:hAnsiTheme="majorEastAsia" w:hint="eastAsia"/>
        </w:rPr>
        <w:t>发行</w:t>
      </w:r>
      <w:r w:rsidR="0064081A">
        <w:rPr>
          <w:rFonts w:asciiTheme="majorEastAsia" w:eastAsiaTheme="majorEastAsia" w:hAnsiTheme="majorEastAsia" w:hint="eastAsia"/>
        </w:rPr>
        <w:t>的</w:t>
      </w:r>
      <w:r>
        <w:rPr>
          <w:rFonts w:asciiTheme="majorEastAsia" w:eastAsiaTheme="majorEastAsia" w:hAnsiTheme="majorEastAsia" w:hint="eastAsia"/>
        </w:rPr>
        <w:t>H</w:t>
      </w:r>
      <w:r w:rsidRPr="00975782">
        <w:rPr>
          <w:rFonts w:asciiTheme="majorEastAsia" w:eastAsiaTheme="majorEastAsia" w:hAnsiTheme="majorEastAsia" w:hint="eastAsia"/>
        </w:rPr>
        <w:t>股股票的</w:t>
      </w:r>
      <w:r w:rsidR="00FF3162">
        <w:rPr>
          <w:rFonts w:asciiTheme="majorEastAsia" w:eastAsiaTheme="majorEastAsia" w:hAnsiTheme="majorEastAsia" w:hint="eastAsia"/>
        </w:rPr>
        <w:t>认</w:t>
      </w:r>
      <w:r w:rsidRPr="00975782">
        <w:rPr>
          <w:rFonts w:asciiTheme="majorEastAsia" w:eastAsiaTheme="majorEastAsia" w:hAnsiTheme="majorEastAsia" w:hint="eastAsia"/>
        </w:rPr>
        <w:t>购。海天</w:t>
      </w:r>
      <w:r>
        <w:rPr>
          <w:rFonts w:asciiTheme="majorEastAsia" w:eastAsiaTheme="majorEastAsia" w:hAnsiTheme="majorEastAsia" w:hint="eastAsia"/>
        </w:rPr>
        <w:t>味业</w:t>
      </w:r>
      <w:r w:rsidRPr="00975782">
        <w:rPr>
          <w:rFonts w:asciiTheme="majorEastAsia" w:eastAsiaTheme="majorEastAsia" w:hAnsiTheme="majorEastAsia" w:hint="eastAsia"/>
        </w:rPr>
        <w:t>本次发行的香港承销商广发证券（香港）经纪有限公司为本公司非控股股东广发证券股份有限公司的子公司</w:t>
      </w:r>
      <w:r w:rsidR="0064081A">
        <w:rPr>
          <w:rFonts w:asciiTheme="majorEastAsia" w:eastAsiaTheme="majorEastAsia" w:hAnsiTheme="majorEastAsia" w:hint="eastAsia"/>
        </w:rPr>
        <w:t>，</w:t>
      </w:r>
      <w:r w:rsidRPr="00975782">
        <w:rPr>
          <w:rFonts w:asciiTheme="majorEastAsia" w:eastAsiaTheme="majorEastAsia" w:hAnsiTheme="majorEastAsia" w:hint="eastAsia"/>
        </w:rPr>
        <w:t>香港承销商中银国际亚洲有限公司的最终控股公司为本公司旗下部分公募基金的托管人中国银行股份有限公</w:t>
      </w:r>
      <w:r>
        <w:rPr>
          <w:rFonts w:asciiTheme="majorEastAsia" w:eastAsiaTheme="majorEastAsia" w:hAnsiTheme="majorEastAsia" w:hint="eastAsia"/>
        </w:rPr>
        <w:t>司</w:t>
      </w:r>
      <w:r w:rsidR="0064081A">
        <w:rPr>
          <w:rFonts w:asciiTheme="majorEastAsia" w:eastAsiaTheme="majorEastAsia" w:hAnsiTheme="majorEastAsia" w:hint="eastAsia"/>
        </w:rPr>
        <w:t>，</w:t>
      </w:r>
      <w:r w:rsidRPr="00975782">
        <w:rPr>
          <w:rFonts w:asciiTheme="majorEastAsia" w:eastAsiaTheme="majorEastAsia" w:hAnsiTheme="majorEastAsia" w:hint="eastAsia"/>
        </w:rPr>
        <w:t>香港承销商</w:t>
      </w:r>
      <w:r>
        <w:rPr>
          <w:rFonts w:asciiTheme="majorEastAsia" w:eastAsiaTheme="majorEastAsia" w:hAnsiTheme="majorEastAsia" w:hint="eastAsia"/>
        </w:rPr>
        <w:t>工银国际证券有限公司</w:t>
      </w:r>
      <w:r w:rsidRPr="00975782">
        <w:rPr>
          <w:rFonts w:asciiTheme="majorEastAsia" w:eastAsiaTheme="majorEastAsia" w:hAnsiTheme="majorEastAsia" w:hint="eastAsia"/>
        </w:rPr>
        <w:t>的最终控股公司为本公司旗下部分公募基金的托管人</w:t>
      </w:r>
      <w:r>
        <w:rPr>
          <w:rFonts w:asciiTheme="majorEastAsia" w:eastAsiaTheme="majorEastAsia" w:hAnsiTheme="majorEastAsia" w:hint="eastAsia"/>
        </w:rPr>
        <w:t>中国工商</w:t>
      </w:r>
      <w:r w:rsidRPr="00975782">
        <w:rPr>
          <w:rFonts w:asciiTheme="majorEastAsia" w:eastAsiaTheme="majorEastAsia" w:hAnsiTheme="majorEastAsia" w:hint="eastAsia"/>
        </w:rPr>
        <w:t>银行股份有限公</w:t>
      </w:r>
      <w:r>
        <w:rPr>
          <w:rFonts w:asciiTheme="majorEastAsia" w:eastAsiaTheme="majorEastAsia" w:hAnsiTheme="majorEastAsia" w:hint="eastAsia"/>
        </w:rPr>
        <w:t>司</w:t>
      </w:r>
      <w:r w:rsidR="0064081A">
        <w:rPr>
          <w:rFonts w:asciiTheme="majorEastAsia" w:eastAsiaTheme="majorEastAsia" w:hAnsiTheme="majorEastAsia" w:hint="eastAsia"/>
        </w:rPr>
        <w:t>，</w:t>
      </w:r>
      <w:r w:rsidR="00933C8F" w:rsidRPr="00975782">
        <w:rPr>
          <w:rFonts w:asciiTheme="majorEastAsia" w:eastAsiaTheme="majorEastAsia" w:hAnsiTheme="majorEastAsia" w:hint="eastAsia"/>
        </w:rPr>
        <w:t>香港承销商</w:t>
      </w:r>
      <w:r w:rsidR="00933C8F">
        <w:rPr>
          <w:rFonts w:asciiTheme="majorEastAsia" w:eastAsiaTheme="majorEastAsia" w:hAnsiTheme="majorEastAsia" w:hint="eastAsia"/>
        </w:rPr>
        <w:t>香港上海汇丰银行有限公司</w:t>
      </w:r>
      <w:r w:rsidR="00933C8F" w:rsidRPr="00975782">
        <w:rPr>
          <w:rFonts w:asciiTheme="majorEastAsia" w:eastAsiaTheme="majorEastAsia" w:hAnsiTheme="majorEastAsia" w:hint="eastAsia"/>
        </w:rPr>
        <w:t>为本公司旗下部分公募基金的托管人</w:t>
      </w:r>
      <w:r w:rsidR="00933C8F">
        <w:rPr>
          <w:rFonts w:asciiTheme="majorEastAsia" w:eastAsiaTheme="majorEastAsia" w:hAnsiTheme="majorEastAsia" w:hint="eastAsia"/>
        </w:rPr>
        <w:t>交通</w:t>
      </w:r>
      <w:r w:rsidR="00933C8F" w:rsidRPr="00975782">
        <w:rPr>
          <w:rFonts w:asciiTheme="majorEastAsia" w:eastAsiaTheme="majorEastAsia" w:hAnsiTheme="majorEastAsia" w:hint="eastAsia"/>
        </w:rPr>
        <w:t>银行股份有限公</w:t>
      </w:r>
      <w:r w:rsidR="00933C8F">
        <w:rPr>
          <w:rFonts w:asciiTheme="majorEastAsia" w:eastAsiaTheme="majorEastAsia" w:hAnsiTheme="majorEastAsia" w:hint="eastAsia"/>
        </w:rPr>
        <w:t>司的前十大股东。</w:t>
      </w:r>
      <w:r w:rsidRPr="00975782">
        <w:rPr>
          <w:rFonts w:asciiTheme="majorEastAsia" w:eastAsiaTheme="majorEastAsia" w:hAnsiTheme="majorEastAsia" w:hint="eastAsia"/>
        </w:rPr>
        <w:t>海天</w:t>
      </w:r>
      <w:r>
        <w:rPr>
          <w:rFonts w:asciiTheme="majorEastAsia" w:eastAsiaTheme="majorEastAsia" w:hAnsiTheme="majorEastAsia" w:hint="eastAsia"/>
        </w:rPr>
        <w:t>味业</w:t>
      </w:r>
      <w:r w:rsidRPr="00975782">
        <w:rPr>
          <w:rFonts w:asciiTheme="majorEastAsia" w:eastAsiaTheme="majorEastAsia" w:hAnsiTheme="majorEastAsia" w:hint="eastAsia"/>
        </w:rPr>
        <w:t>本次发行价格为</w:t>
      </w:r>
      <w:r w:rsidR="009543E9">
        <w:rPr>
          <w:rFonts w:asciiTheme="majorEastAsia" w:eastAsiaTheme="majorEastAsia" w:hAnsiTheme="majorEastAsia"/>
        </w:rPr>
        <w:t>36.30</w:t>
      </w:r>
      <w:r w:rsidRPr="00975782">
        <w:rPr>
          <w:rFonts w:asciiTheme="majorEastAsia" w:eastAsiaTheme="majorEastAsia" w:hAnsiTheme="majorEastAsia" w:hint="eastAsia"/>
        </w:rPr>
        <w:t>港元</w:t>
      </w:r>
      <w:r w:rsidRPr="00975782">
        <w:rPr>
          <w:rFonts w:asciiTheme="majorEastAsia" w:eastAsiaTheme="majorEastAsia" w:hAnsiTheme="majorEastAsia" w:hint="eastAsia"/>
        </w:rPr>
        <w:t>/</w:t>
      </w:r>
      <w:r w:rsidRPr="00975782">
        <w:rPr>
          <w:rFonts w:asciiTheme="majorEastAsia" w:eastAsiaTheme="majorEastAsia" w:hAnsiTheme="majorEastAsia" w:hint="eastAsia"/>
        </w:rPr>
        <w:t>股，由整体协调人</w:t>
      </w:r>
      <w:r w:rsidR="00127B8A">
        <w:rPr>
          <w:rFonts w:asciiTheme="majorEastAsia" w:eastAsiaTheme="majorEastAsia" w:hAnsiTheme="majorEastAsia" w:hint="eastAsia"/>
        </w:rPr>
        <w:t>（为其本身及代表承销商）与</w:t>
      </w:r>
      <w:r w:rsidR="00127B8A" w:rsidRPr="00975782">
        <w:rPr>
          <w:rFonts w:asciiTheme="majorEastAsia" w:eastAsiaTheme="majorEastAsia" w:hAnsiTheme="majorEastAsia" w:hint="eastAsia"/>
        </w:rPr>
        <w:t>发行人</w:t>
      </w:r>
      <w:r w:rsidR="00127B8A">
        <w:rPr>
          <w:rFonts w:asciiTheme="majorEastAsia" w:eastAsiaTheme="majorEastAsia" w:hAnsiTheme="majorEastAsia" w:hint="eastAsia"/>
        </w:rPr>
        <w:t>于定价日</w:t>
      </w:r>
      <w:r w:rsidR="009543E9">
        <w:rPr>
          <w:rFonts w:asciiTheme="majorEastAsia" w:eastAsiaTheme="majorEastAsia" w:hAnsiTheme="majorEastAsia" w:hint="eastAsia"/>
        </w:rPr>
        <w:t>以协议方式厘</w:t>
      </w:r>
      <w:r w:rsidRPr="00975782">
        <w:rPr>
          <w:rFonts w:asciiTheme="majorEastAsia" w:eastAsiaTheme="majorEastAsia" w:hAnsiTheme="majorEastAsia" w:hint="eastAsia"/>
        </w:rPr>
        <w:t>定。</w:t>
      </w:r>
    </w:p>
    <w:p w:rsidR="00177B3B" w:rsidRDefault="00293F52" w:rsidP="00177B3B">
      <w:pPr>
        <w:pStyle w:val="Default"/>
        <w:spacing w:line="360" w:lineRule="auto"/>
        <w:ind w:firstLineChars="210" w:firstLine="504"/>
        <w:rPr>
          <w:rFonts w:asciiTheme="majorEastAsia" w:eastAsiaTheme="majorEastAsia" w:hAnsiTheme="majorEastAsia"/>
        </w:rPr>
      </w:pPr>
      <w:r w:rsidRPr="001F12D1">
        <w:rPr>
          <w:rFonts w:asciiTheme="majorEastAsia" w:eastAsiaTheme="majorEastAsia" w:hAnsiTheme="majorEastAsia" w:hint="eastAsia"/>
        </w:rPr>
        <w:t>现将获配结果披露如下表：</w:t>
      </w:r>
    </w:p>
    <w:p w:rsidR="00402751" w:rsidRPr="001F12D1" w:rsidRDefault="00402751" w:rsidP="00402751">
      <w:pPr>
        <w:pStyle w:val="Default"/>
        <w:spacing w:line="360" w:lineRule="auto"/>
        <w:rPr>
          <w:rFonts w:asciiTheme="majorEastAsia" w:eastAsiaTheme="majorEastAsia" w:hAnsiTheme="majorEastAsia"/>
        </w:rPr>
      </w:pPr>
    </w:p>
    <w:tbl>
      <w:tblPr>
        <w:tblW w:w="8364" w:type="dxa"/>
        <w:tblInd w:w="108" w:type="dxa"/>
        <w:tblLook w:val="04A0"/>
      </w:tblPr>
      <w:tblGrid>
        <w:gridCol w:w="3686"/>
        <w:gridCol w:w="1559"/>
        <w:gridCol w:w="1843"/>
        <w:gridCol w:w="1276"/>
      </w:tblGrid>
      <w:tr w:rsidR="00FC1A7F" w:rsidTr="0064081A">
        <w:trPr>
          <w:trHeight w:val="290"/>
        </w:trPr>
        <w:tc>
          <w:tcPr>
            <w:tcW w:w="368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基金名称</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获配数量（股）</w:t>
            </w:r>
          </w:p>
        </w:tc>
        <w:tc>
          <w:tcPr>
            <w:tcW w:w="1843" w:type="dxa"/>
            <w:tcBorders>
              <w:top w:val="single" w:sz="8" w:space="0" w:color="auto"/>
              <w:left w:val="nil"/>
              <w:bottom w:val="single" w:sz="4" w:space="0" w:color="auto"/>
              <w:right w:val="single" w:sz="8"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获配金额（港元）</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基金托管人</w:t>
            </w:r>
          </w:p>
        </w:tc>
      </w:tr>
      <w:tr w:rsidR="00FC1A7F" w:rsidTr="0064081A">
        <w:trPr>
          <w:trHeight w:val="29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易方达全球医药行业混合型发起式证券投资基金</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142,000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5,154,600.00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中国银行</w:t>
            </w:r>
          </w:p>
        </w:tc>
      </w:tr>
      <w:tr w:rsidR="00FC1A7F" w:rsidTr="0064081A">
        <w:trPr>
          <w:trHeight w:val="29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易方达全球成长精选混合型证券投资基金（</w:t>
            </w:r>
            <w:r w:rsidRPr="009543E9">
              <w:rPr>
                <w:rFonts w:ascii="宋体" w:hAnsi="宋体" w:cs="宋体" w:hint="eastAsia"/>
                <w:color w:val="000000"/>
                <w:kern w:val="0"/>
                <w:szCs w:val="21"/>
              </w:rPr>
              <w:t>QDII</w:t>
            </w:r>
            <w:r w:rsidRPr="009543E9">
              <w:rPr>
                <w:rFonts w:ascii="宋体" w:hAnsi="宋体" w:cs="宋体" w:hint="eastAsia"/>
                <w:color w:val="000000"/>
                <w:kern w:val="0"/>
                <w:szCs w:val="21"/>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12,900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468,270.00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宁波银行</w:t>
            </w:r>
          </w:p>
        </w:tc>
      </w:tr>
      <w:tr w:rsidR="00FC1A7F" w:rsidTr="0064081A">
        <w:trPr>
          <w:trHeight w:val="29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易方达全球优质企业混合型证券投资基金（</w:t>
            </w:r>
            <w:r w:rsidRPr="009543E9">
              <w:rPr>
                <w:rFonts w:ascii="宋体" w:hAnsi="宋体" w:cs="宋体" w:hint="eastAsia"/>
                <w:color w:val="000000"/>
                <w:kern w:val="0"/>
                <w:szCs w:val="21"/>
              </w:rPr>
              <w:t>QDII</w:t>
            </w:r>
            <w:r w:rsidRPr="009543E9">
              <w:rPr>
                <w:rFonts w:ascii="宋体" w:hAnsi="宋体" w:cs="宋体" w:hint="eastAsia"/>
                <w:color w:val="000000"/>
                <w:kern w:val="0"/>
                <w:szCs w:val="21"/>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51,400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1,865,820.00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招商银行</w:t>
            </w:r>
          </w:p>
        </w:tc>
      </w:tr>
      <w:tr w:rsidR="00FC1A7F" w:rsidTr="0064081A">
        <w:trPr>
          <w:trHeight w:val="29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易方达全球配置混合型证券投资基金（</w:t>
            </w:r>
            <w:r w:rsidRPr="009543E9">
              <w:rPr>
                <w:rFonts w:ascii="宋体" w:hAnsi="宋体" w:cs="宋体" w:hint="eastAsia"/>
                <w:color w:val="000000"/>
                <w:kern w:val="0"/>
                <w:szCs w:val="21"/>
              </w:rPr>
              <w:t>QDII</w:t>
            </w:r>
            <w:r w:rsidRPr="009543E9">
              <w:rPr>
                <w:rFonts w:ascii="宋体" w:hAnsi="宋体" w:cs="宋体" w:hint="eastAsia"/>
                <w:color w:val="000000"/>
                <w:kern w:val="0"/>
                <w:szCs w:val="21"/>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14,600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529,980.00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招商银行</w:t>
            </w:r>
          </w:p>
        </w:tc>
      </w:tr>
      <w:tr w:rsidR="00FC1A7F" w:rsidTr="0064081A">
        <w:trPr>
          <w:trHeight w:val="29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易方达优质精选混合型证券投资基金</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42,900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1,557,270.00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中国银行</w:t>
            </w:r>
          </w:p>
        </w:tc>
      </w:tr>
      <w:tr w:rsidR="00FC1A7F" w:rsidTr="0064081A">
        <w:trPr>
          <w:trHeight w:val="29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易方达亚洲精选股票型证券投资基金</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42,900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1,557,270.00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工商银行</w:t>
            </w:r>
          </w:p>
        </w:tc>
      </w:tr>
      <w:tr w:rsidR="00FC1A7F" w:rsidTr="0064081A">
        <w:trPr>
          <w:trHeight w:val="29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易方达标普全球高端消费品指数增强型证券投资基金</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23,800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863,940.00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中国银行</w:t>
            </w:r>
          </w:p>
        </w:tc>
      </w:tr>
      <w:tr w:rsidR="00FC1A7F" w:rsidTr="0064081A">
        <w:trPr>
          <w:trHeight w:val="29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易方达恒生中国企业交易型开放式指数证券投资基金</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11,100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402,930.00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交通银行</w:t>
            </w:r>
          </w:p>
        </w:tc>
      </w:tr>
      <w:tr w:rsidR="00FC1A7F" w:rsidTr="0064081A">
        <w:trPr>
          <w:trHeight w:val="29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易方达恒生科技交易型开放式指数证券投资基金（</w:t>
            </w:r>
            <w:r w:rsidRPr="009543E9">
              <w:rPr>
                <w:rFonts w:ascii="宋体" w:hAnsi="宋体" w:cs="宋体" w:hint="eastAsia"/>
                <w:color w:val="000000"/>
                <w:kern w:val="0"/>
                <w:szCs w:val="21"/>
              </w:rPr>
              <w:t>QDII</w:t>
            </w:r>
            <w:r w:rsidRPr="009543E9">
              <w:rPr>
                <w:rFonts w:ascii="宋体" w:hAnsi="宋体" w:cs="宋体" w:hint="eastAsia"/>
                <w:color w:val="000000"/>
                <w:kern w:val="0"/>
                <w:szCs w:val="21"/>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13,700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497,310.00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招商银行</w:t>
            </w:r>
          </w:p>
        </w:tc>
      </w:tr>
      <w:tr w:rsidR="00FC1A7F" w:rsidTr="0064081A">
        <w:trPr>
          <w:trHeight w:val="29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易方达中证海外中国互联网</w:t>
            </w:r>
            <w:r w:rsidRPr="009543E9">
              <w:rPr>
                <w:rFonts w:ascii="宋体" w:hAnsi="宋体" w:cs="宋体" w:hint="eastAsia"/>
                <w:color w:val="000000"/>
                <w:kern w:val="0"/>
                <w:szCs w:val="21"/>
              </w:rPr>
              <w:t>50</w:t>
            </w:r>
            <w:r w:rsidRPr="009543E9">
              <w:rPr>
                <w:rFonts w:ascii="宋体" w:hAnsi="宋体" w:cs="宋体" w:hint="eastAsia"/>
                <w:color w:val="000000"/>
                <w:kern w:val="0"/>
                <w:szCs w:val="21"/>
              </w:rPr>
              <w:t>交易型开放式指数证券投资基金</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41,600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1,510,080.00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招商银行</w:t>
            </w:r>
          </w:p>
        </w:tc>
      </w:tr>
      <w:tr w:rsidR="00FC1A7F" w:rsidTr="0064081A">
        <w:trPr>
          <w:trHeight w:val="29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易方达恒生交易型开放式指数证券投</w:t>
            </w:r>
            <w:r w:rsidRPr="009543E9">
              <w:rPr>
                <w:rFonts w:ascii="宋体" w:hAnsi="宋体" w:cs="宋体" w:hint="eastAsia"/>
                <w:color w:val="000000"/>
                <w:kern w:val="0"/>
                <w:szCs w:val="21"/>
              </w:rPr>
              <w:lastRenderedPageBreak/>
              <w:t>资基金（</w:t>
            </w:r>
            <w:r w:rsidRPr="009543E9">
              <w:rPr>
                <w:rFonts w:ascii="宋体" w:hAnsi="宋体" w:cs="宋体" w:hint="eastAsia"/>
                <w:color w:val="000000"/>
                <w:kern w:val="0"/>
                <w:szCs w:val="21"/>
              </w:rPr>
              <w:t>QDII</w:t>
            </w:r>
            <w:r w:rsidRPr="009543E9">
              <w:rPr>
                <w:rFonts w:ascii="宋体" w:hAnsi="宋体" w:cs="宋体" w:hint="eastAsia"/>
                <w:color w:val="000000"/>
                <w:kern w:val="0"/>
                <w:szCs w:val="21"/>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lastRenderedPageBreak/>
              <w:t>100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3E9" w:rsidRPr="009543E9" w:rsidRDefault="00293F52" w:rsidP="009543E9">
            <w:pPr>
              <w:widowControl/>
              <w:jc w:val="right"/>
              <w:rPr>
                <w:rFonts w:ascii="宋体" w:hAnsi="宋体" w:cs="宋体"/>
                <w:color w:val="000000"/>
                <w:kern w:val="0"/>
                <w:szCs w:val="21"/>
              </w:rPr>
            </w:pPr>
            <w:r w:rsidRPr="009543E9">
              <w:rPr>
                <w:rFonts w:ascii="宋体" w:hAnsi="宋体" w:cs="宋体" w:hint="eastAsia"/>
                <w:color w:val="000000"/>
                <w:kern w:val="0"/>
                <w:szCs w:val="21"/>
              </w:rPr>
              <w:t>3,630.00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3E9" w:rsidRPr="009543E9" w:rsidRDefault="00293F52" w:rsidP="009543E9">
            <w:pPr>
              <w:widowControl/>
              <w:jc w:val="center"/>
              <w:rPr>
                <w:rFonts w:ascii="宋体" w:hAnsi="宋体" w:cs="宋体"/>
                <w:color w:val="000000"/>
                <w:kern w:val="0"/>
                <w:szCs w:val="21"/>
              </w:rPr>
            </w:pPr>
            <w:r w:rsidRPr="009543E9">
              <w:rPr>
                <w:rFonts w:ascii="宋体" w:hAnsi="宋体" w:cs="宋体" w:hint="eastAsia"/>
                <w:color w:val="000000"/>
                <w:kern w:val="0"/>
                <w:szCs w:val="21"/>
              </w:rPr>
              <w:t>中国银行</w:t>
            </w:r>
          </w:p>
        </w:tc>
      </w:tr>
    </w:tbl>
    <w:p w:rsidR="00177B3B" w:rsidRPr="001F12D1" w:rsidRDefault="00177B3B" w:rsidP="00177B3B">
      <w:pPr>
        <w:widowControl/>
        <w:spacing w:line="360" w:lineRule="auto"/>
        <w:jc w:val="left"/>
        <w:rPr>
          <w:rFonts w:asciiTheme="majorEastAsia" w:eastAsiaTheme="majorEastAsia" w:hAnsiTheme="majorEastAsia"/>
          <w:kern w:val="0"/>
          <w:sz w:val="24"/>
          <w:szCs w:val="24"/>
        </w:rPr>
      </w:pPr>
    </w:p>
    <w:p w:rsidR="00177B3B" w:rsidRPr="001F12D1" w:rsidRDefault="00293F52" w:rsidP="00177B3B">
      <w:pPr>
        <w:widowControl/>
        <w:spacing w:line="360" w:lineRule="auto"/>
        <w:ind w:firstLine="480"/>
        <w:jc w:val="left"/>
        <w:rPr>
          <w:rFonts w:asciiTheme="majorEastAsia" w:eastAsiaTheme="majorEastAsia" w:hAnsiTheme="majorEastAsia" w:cs="宋体"/>
          <w:kern w:val="0"/>
          <w:sz w:val="24"/>
        </w:rPr>
      </w:pPr>
      <w:r w:rsidRPr="001F12D1">
        <w:rPr>
          <w:rFonts w:asciiTheme="majorEastAsia" w:eastAsiaTheme="majorEastAsia" w:hAnsiTheme="majorEastAsia" w:cs="宋体" w:hint="eastAsia"/>
          <w:kern w:val="0"/>
          <w:sz w:val="24"/>
        </w:rPr>
        <w:t>特此公告。</w:t>
      </w:r>
    </w:p>
    <w:p w:rsidR="00177B3B" w:rsidRPr="001F12D1" w:rsidRDefault="00293F52" w:rsidP="00177B3B">
      <w:pPr>
        <w:widowControl/>
        <w:spacing w:line="360" w:lineRule="auto"/>
        <w:ind w:firstLine="480"/>
        <w:jc w:val="left"/>
        <w:rPr>
          <w:rFonts w:asciiTheme="majorEastAsia" w:eastAsiaTheme="majorEastAsia" w:hAnsiTheme="majorEastAsia"/>
          <w:kern w:val="0"/>
          <w:sz w:val="24"/>
        </w:rPr>
      </w:pPr>
      <w:r w:rsidRPr="001F12D1">
        <w:rPr>
          <w:rFonts w:asciiTheme="majorEastAsia" w:eastAsiaTheme="majorEastAsia" w:hAnsiTheme="majorEastAsia"/>
          <w:kern w:val="0"/>
          <w:sz w:val="24"/>
        </w:rPr>
        <w:t> </w:t>
      </w:r>
    </w:p>
    <w:p w:rsidR="00177B3B" w:rsidRPr="001F12D1" w:rsidRDefault="00293F52" w:rsidP="00177B3B">
      <w:pPr>
        <w:widowControl/>
        <w:ind w:firstLineChars="200" w:firstLine="480"/>
        <w:jc w:val="right"/>
        <w:rPr>
          <w:rFonts w:asciiTheme="majorEastAsia" w:eastAsiaTheme="majorEastAsia" w:hAnsiTheme="majorEastAsia" w:cs="宋体"/>
          <w:kern w:val="0"/>
          <w:sz w:val="24"/>
        </w:rPr>
      </w:pPr>
      <w:r w:rsidRPr="001F12D1">
        <w:rPr>
          <w:rFonts w:asciiTheme="majorEastAsia" w:eastAsiaTheme="majorEastAsia" w:hAnsiTheme="majorEastAsia"/>
          <w:kern w:val="0"/>
          <w:sz w:val="24"/>
        </w:rPr>
        <w:t xml:space="preserve">    </w:t>
      </w:r>
      <w:r w:rsidRPr="001F12D1">
        <w:rPr>
          <w:rFonts w:asciiTheme="majorEastAsia" w:eastAsiaTheme="majorEastAsia" w:hAnsiTheme="majorEastAsia" w:cs="宋体" w:hint="eastAsia"/>
          <w:kern w:val="0"/>
          <w:sz w:val="24"/>
        </w:rPr>
        <w:t xml:space="preserve">　　　　　　　</w:t>
      </w:r>
    </w:p>
    <w:p w:rsidR="00177B3B" w:rsidRPr="00F16753" w:rsidRDefault="00293F52" w:rsidP="00177B3B">
      <w:pPr>
        <w:widowControl/>
        <w:ind w:right="723" w:firstLineChars="200" w:firstLine="480"/>
        <w:jc w:val="right"/>
        <w:rPr>
          <w:rFonts w:asciiTheme="majorEastAsia" w:eastAsiaTheme="majorEastAsia" w:hAnsiTheme="majorEastAsia" w:cs="宋体"/>
          <w:kern w:val="0"/>
          <w:sz w:val="24"/>
        </w:rPr>
      </w:pPr>
      <w:r w:rsidRPr="00F16753">
        <w:rPr>
          <w:rFonts w:asciiTheme="majorEastAsia" w:eastAsiaTheme="majorEastAsia" w:hAnsiTheme="majorEastAsia" w:cs="宋体" w:hint="eastAsia"/>
          <w:kern w:val="0"/>
          <w:sz w:val="24"/>
        </w:rPr>
        <w:t>易方达基金管理有限公司</w:t>
      </w:r>
    </w:p>
    <w:p w:rsidR="00177B3B" w:rsidRPr="00F16753" w:rsidRDefault="00293F52" w:rsidP="00177B3B">
      <w:pPr>
        <w:widowControl/>
        <w:wordWrap w:val="0"/>
        <w:ind w:right="964"/>
        <w:jc w:val="right"/>
        <w:rPr>
          <w:rFonts w:asciiTheme="majorEastAsia" w:eastAsiaTheme="majorEastAsia" w:hAnsiTheme="majorEastAsia" w:cs="宋体"/>
          <w:kern w:val="0"/>
          <w:szCs w:val="21"/>
        </w:rPr>
      </w:pPr>
      <w:r w:rsidRPr="00F16753">
        <w:rPr>
          <w:rFonts w:asciiTheme="majorEastAsia" w:eastAsiaTheme="majorEastAsia" w:hAnsiTheme="majorEastAsia" w:cs="宋体" w:hint="eastAsia"/>
          <w:bCs/>
          <w:kern w:val="0"/>
          <w:szCs w:val="21"/>
        </w:rPr>
        <w:t>202</w:t>
      </w:r>
      <w:r w:rsidR="009E62F0" w:rsidRPr="00F16753">
        <w:rPr>
          <w:rFonts w:asciiTheme="majorEastAsia" w:eastAsiaTheme="majorEastAsia" w:hAnsiTheme="majorEastAsia" w:cs="宋体"/>
          <w:bCs/>
          <w:kern w:val="0"/>
          <w:szCs w:val="21"/>
        </w:rPr>
        <w:t>5</w:t>
      </w:r>
      <w:r w:rsidRPr="00F16753">
        <w:rPr>
          <w:rFonts w:asciiTheme="majorEastAsia" w:eastAsiaTheme="majorEastAsia" w:hAnsiTheme="majorEastAsia" w:cs="宋体" w:hint="eastAsia"/>
          <w:bCs/>
          <w:kern w:val="0"/>
          <w:szCs w:val="21"/>
        </w:rPr>
        <w:t>年</w:t>
      </w:r>
      <w:r w:rsidR="00FF3162">
        <w:rPr>
          <w:rFonts w:asciiTheme="majorEastAsia" w:eastAsiaTheme="majorEastAsia" w:hAnsiTheme="majorEastAsia" w:cs="宋体"/>
          <w:bCs/>
          <w:kern w:val="0"/>
          <w:szCs w:val="21"/>
        </w:rPr>
        <w:t>6</w:t>
      </w:r>
      <w:r w:rsidRPr="00F16753">
        <w:rPr>
          <w:rFonts w:asciiTheme="majorEastAsia" w:eastAsiaTheme="majorEastAsia" w:hAnsiTheme="majorEastAsia" w:cs="宋体" w:hint="eastAsia"/>
          <w:bCs/>
          <w:kern w:val="0"/>
          <w:szCs w:val="21"/>
        </w:rPr>
        <w:t>月</w:t>
      </w:r>
      <w:r w:rsidR="00FF3162">
        <w:rPr>
          <w:rFonts w:asciiTheme="majorEastAsia" w:eastAsiaTheme="majorEastAsia" w:hAnsiTheme="majorEastAsia" w:cs="宋体"/>
          <w:bCs/>
          <w:kern w:val="0"/>
          <w:szCs w:val="21"/>
        </w:rPr>
        <w:t>19</w:t>
      </w:r>
      <w:r w:rsidRPr="00F16753">
        <w:rPr>
          <w:rFonts w:asciiTheme="majorEastAsia" w:eastAsiaTheme="majorEastAsia" w:hAnsiTheme="majorEastAsia" w:cs="宋体" w:hint="eastAsia"/>
          <w:bCs/>
          <w:kern w:val="0"/>
          <w:szCs w:val="21"/>
        </w:rPr>
        <w:t>日</w:t>
      </w:r>
    </w:p>
    <w:p w:rsidR="00177B3B" w:rsidRPr="001F12D1" w:rsidRDefault="00177B3B" w:rsidP="00177B3B">
      <w:pPr>
        <w:rPr>
          <w:rFonts w:asciiTheme="majorEastAsia" w:eastAsiaTheme="majorEastAsia" w:hAnsiTheme="majorEastAsia"/>
        </w:rPr>
      </w:pPr>
    </w:p>
    <w:p w:rsidR="00177B3B" w:rsidRPr="001F12D1" w:rsidRDefault="00177B3B" w:rsidP="00177B3B">
      <w:pPr>
        <w:rPr>
          <w:rFonts w:asciiTheme="majorEastAsia" w:eastAsiaTheme="majorEastAsia" w:hAnsiTheme="majorEastAsia"/>
        </w:rPr>
      </w:pPr>
    </w:p>
    <w:p w:rsidR="00F561F7" w:rsidRPr="00177B3B" w:rsidRDefault="00F561F7" w:rsidP="00C85A50"/>
    <w:sectPr w:rsidR="00F561F7" w:rsidRPr="00177B3B" w:rsidSect="006D05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李清芳">
    <w15:presenceInfo w15:providerId="None" w15:userId="李清芳"/>
  </w15:person>
  <w15:person w15:author="颜鹏">
    <w15:presenceInfo w15:providerId="None" w15:userId="颜鹏"/>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0F64"/>
    <w:rsid w:val="00037F8D"/>
    <w:rsid w:val="00083996"/>
    <w:rsid w:val="000E1D22"/>
    <w:rsid w:val="000F1B3C"/>
    <w:rsid w:val="00104016"/>
    <w:rsid w:val="0012729F"/>
    <w:rsid w:val="00127B8A"/>
    <w:rsid w:val="00164126"/>
    <w:rsid w:val="00177B3B"/>
    <w:rsid w:val="0018047E"/>
    <w:rsid w:val="001C62C9"/>
    <w:rsid w:val="001E31BA"/>
    <w:rsid w:val="001E4F51"/>
    <w:rsid w:val="001F12D1"/>
    <w:rsid w:val="0022203A"/>
    <w:rsid w:val="00225437"/>
    <w:rsid w:val="00256342"/>
    <w:rsid w:val="00282BB5"/>
    <w:rsid w:val="00293F52"/>
    <w:rsid w:val="002A359B"/>
    <w:rsid w:val="002B36C1"/>
    <w:rsid w:val="002E42F7"/>
    <w:rsid w:val="002F12C4"/>
    <w:rsid w:val="002F32A5"/>
    <w:rsid w:val="00304C1B"/>
    <w:rsid w:val="00321AEA"/>
    <w:rsid w:val="0032467A"/>
    <w:rsid w:val="00351EB9"/>
    <w:rsid w:val="003A7524"/>
    <w:rsid w:val="003C07E6"/>
    <w:rsid w:val="003C560F"/>
    <w:rsid w:val="003F0261"/>
    <w:rsid w:val="00402751"/>
    <w:rsid w:val="0041754A"/>
    <w:rsid w:val="0042083E"/>
    <w:rsid w:val="00425E3F"/>
    <w:rsid w:val="00434C61"/>
    <w:rsid w:val="00445FC6"/>
    <w:rsid w:val="00486C86"/>
    <w:rsid w:val="004B32FF"/>
    <w:rsid w:val="004E5A83"/>
    <w:rsid w:val="004F1B0A"/>
    <w:rsid w:val="005116B8"/>
    <w:rsid w:val="0052196E"/>
    <w:rsid w:val="00576FC1"/>
    <w:rsid w:val="00583174"/>
    <w:rsid w:val="005972B2"/>
    <w:rsid w:val="005B7224"/>
    <w:rsid w:val="005D1206"/>
    <w:rsid w:val="005D572F"/>
    <w:rsid w:val="00632910"/>
    <w:rsid w:val="00636371"/>
    <w:rsid w:val="0064081A"/>
    <w:rsid w:val="00643147"/>
    <w:rsid w:val="00670715"/>
    <w:rsid w:val="006765A6"/>
    <w:rsid w:val="00682D73"/>
    <w:rsid w:val="0069676A"/>
    <w:rsid w:val="006B006F"/>
    <w:rsid w:val="006B6352"/>
    <w:rsid w:val="006C066C"/>
    <w:rsid w:val="006D05F5"/>
    <w:rsid w:val="007124FD"/>
    <w:rsid w:val="007263A6"/>
    <w:rsid w:val="007719BC"/>
    <w:rsid w:val="0077544C"/>
    <w:rsid w:val="007A3C4F"/>
    <w:rsid w:val="008578F7"/>
    <w:rsid w:val="008E4A88"/>
    <w:rsid w:val="008F2999"/>
    <w:rsid w:val="009159C4"/>
    <w:rsid w:val="00933C8F"/>
    <w:rsid w:val="00937D43"/>
    <w:rsid w:val="00954324"/>
    <w:rsid w:val="009543E9"/>
    <w:rsid w:val="0097471D"/>
    <w:rsid w:val="00975782"/>
    <w:rsid w:val="009E62F0"/>
    <w:rsid w:val="009F5D05"/>
    <w:rsid w:val="00A24DE8"/>
    <w:rsid w:val="00A414E5"/>
    <w:rsid w:val="00A528BA"/>
    <w:rsid w:val="00A60E9F"/>
    <w:rsid w:val="00AD1CEF"/>
    <w:rsid w:val="00AF7FC5"/>
    <w:rsid w:val="00B10349"/>
    <w:rsid w:val="00B20F09"/>
    <w:rsid w:val="00B56F95"/>
    <w:rsid w:val="00BC0DAA"/>
    <w:rsid w:val="00C12D69"/>
    <w:rsid w:val="00C251FE"/>
    <w:rsid w:val="00C35CB6"/>
    <w:rsid w:val="00C67BB8"/>
    <w:rsid w:val="00C85A50"/>
    <w:rsid w:val="00D11E8C"/>
    <w:rsid w:val="00D34298"/>
    <w:rsid w:val="00D40F64"/>
    <w:rsid w:val="00D503EF"/>
    <w:rsid w:val="00D75BCE"/>
    <w:rsid w:val="00D96C62"/>
    <w:rsid w:val="00DB7585"/>
    <w:rsid w:val="00DF5CDD"/>
    <w:rsid w:val="00E00FAE"/>
    <w:rsid w:val="00E13983"/>
    <w:rsid w:val="00E83548"/>
    <w:rsid w:val="00E905FC"/>
    <w:rsid w:val="00EC7FBE"/>
    <w:rsid w:val="00EE1D32"/>
    <w:rsid w:val="00EF58BF"/>
    <w:rsid w:val="00EF791A"/>
    <w:rsid w:val="00F16753"/>
    <w:rsid w:val="00F254EC"/>
    <w:rsid w:val="00F431E2"/>
    <w:rsid w:val="00F561F7"/>
    <w:rsid w:val="00F60BA1"/>
    <w:rsid w:val="00F649D0"/>
    <w:rsid w:val="00F72F45"/>
    <w:rsid w:val="00F830F1"/>
    <w:rsid w:val="00FB3A10"/>
    <w:rsid w:val="00FC1A7F"/>
    <w:rsid w:val="00FC6EF0"/>
    <w:rsid w:val="00FF31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4C61"/>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434C61"/>
    <w:rPr>
      <w:sz w:val="18"/>
      <w:szCs w:val="18"/>
    </w:rPr>
  </w:style>
  <w:style w:type="paragraph" w:styleId="a4">
    <w:name w:val="footer"/>
    <w:basedOn w:val="a"/>
    <w:link w:val="Char0"/>
    <w:uiPriority w:val="99"/>
    <w:unhideWhenUsed/>
    <w:rsid w:val="00434C61"/>
    <w:pPr>
      <w:tabs>
        <w:tab w:val="center" w:pos="4153"/>
        <w:tab w:val="right" w:pos="8306"/>
      </w:tabs>
      <w:snapToGrid w:val="0"/>
      <w:jc w:val="left"/>
    </w:pPr>
    <w:rPr>
      <w:kern w:val="0"/>
      <w:sz w:val="18"/>
      <w:szCs w:val="18"/>
    </w:rPr>
  </w:style>
  <w:style w:type="character" w:customStyle="1" w:styleId="Char0">
    <w:name w:val="页脚 Char"/>
    <w:link w:val="a4"/>
    <w:uiPriority w:val="99"/>
    <w:rsid w:val="00434C61"/>
    <w:rPr>
      <w:sz w:val="18"/>
      <w:szCs w:val="18"/>
    </w:rPr>
  </w:style>
  <w:style w:type="character" w:styleId="a5">
    <w:name w:val="annotation reference"/>
    <w:semiHidden/>
    <w:rsid w:val="00434C61"/>
    <w:rPr>
      <w:rFonts w:cs="Times New Roman"/>
      <w:sz w:val="21"/>
      <w:szCs w:val="21"/>
    </w:rPr>
  </w:style>
  <w:style w:type="paragraph" w:styleId="a6">
    <w:name w:val="annotation text"/>
    <w:basedOn w:val="a"/>
    <w:link w:val="Char1"/>
    <w:semiHidden/>
    <w:rsid w:val="00434C61"/>
    <w:pPr>
      <w:jc w:val="left"/>
    </w:pPr>
    <w:rPr>
      <w:kern w:val="0"/>
      <w:sz w:val="20"/>
      <w:szCs w:val="20"/>
    </w:rPr>
  </w:style>
  <w:style w:type="character" w:customStyle="1" w:styleId="Char1">
    <w:name w:val="批注文字 Char"/>
    <w:link w:val="a6"/>
    <w:semiHidden/>
    <w:rsid w:val="00434C61"/>
    <w:rPr>
      <w:rFonts w:ascii="Calibri" w:eastAsia="宋体" w:hAnsi="Calibri" w:cs="Times New Roman"/>
    </w:rPr>
  </w:style>
  <w:style w:type="paragraph" w:styleId="a7">
    <w:name w:val="Balloon Text"/>
    <w:basedOn w:val="a"/>
    <w:link w:val="Char2"/>
    <w:uiPriority w:val="99"/>
    <w:semiHidden/>
    <w:unhideWhenUsed/>
    <w:rsid w:val="00434C61"/>
    <w:rPr>
      <w:kern w:val="0"/>
      <w:sz w:val="18"/>
      <w:szCs w:val="18"/>
    </w:rPr>
  </w:style>
  <w:style w:type="character" w:customStyle="1" w:styleId="Char2">
    <w:name w:val="批注框文本 Char"/>
    <w:link w:val="a7"/>
    <w:uiPriority w:val="99"/>
    <w:semiHidden/>
    <w:rsid w:val="00434C61"/>
    <w:rPr>
      <w:rFonts w:ascii="Calibri" w:eastAsia="宋体" w:hAnsi="Calibri" w:cs="Times New Roman"/>
      <w:sz w:val="18"/>
      <w:szCs w:val="18"/>
    </w:rPr>
  </w:style>
  <w:style w:type="character" w:styleId="a8">
    <w:name w:val="Strong"/>
    <w:uiPriority w:val="22"/>
    <w:qFormat/>
    <w:rsid w:val="006B006F"/>
    <w:rPr>
      <w:rFonts w:ascii="Times New Roman" w:hAnsi="Times New Roman" w:cs="Times New Roman" w:hint="default"/>
      <w:b/>
      <w:bCs/>
    </w:rPr>
  </w:style>
  <w:style w:type="paragraph" w:customStyle="1" w:styleId="font14">
    <w:name w:val="font14"/>
    <w:basedOn w:val="a"/>
    <w:uiPriority w:val="99"/>
    <w:rsid w:val="006B006F"/>
    <w:pPr>
      <w:widowControl/>
      <w:spacing w:before="100" w:beforeAutospacing="1" w:after="100" w:afterAutospacing="1" w:line="360" w:lineRule="auto"/>
      <w:jc w:val="left"/>
    </w:pPr>
    <w:rPr>
      <w:rFonts w:ascii="宋体" w:hAnsi="宋体" w:cs="宋体"/>
      <w:kern w:val="0"/>
      <w:sz w:val="19"/>
      <w:szCs w:val="19"/>
    </w:rPr>
  </w:style>
  <w:style w:type="paragraph" w:customStyle="1" w:styleId="Default">
    <w:name w:val="Default"/>
    <w:rsid w:val="006B006F"/>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8A7D7-2188-4EF9-8C35-E2B63C39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907</Characters>
  <Application>Microsoft Office Word</Application>
  <DocSecurity>4</DocSecurity>
  <Lines>7</Lines>
  <Paragraphs>2</Paragraphs>
  <ScaleCrop>false</ScaleCrop>
  <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2025-06-18T16:03:00Z</dcterms:created>
  <dcterms:modified xsi:type="dcterms:W3CDTF">2025-06-18T16:03:00Z</dcterms:modified>
</cp:coreProperties>
</file>