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638" w:rsidRDefault="00997D9C">
      <w:pPr>
        <w:spacing w:line="360" w:lineRule="auto"/>
        <w:ind w:firstLine="420"/>
        <w:jc w:val="center"/>
        <w:rPr>
          <w:rFonts w:ascii="宋体" w:eastAsia="宋体" w:hAnsi="宋体" w:cs="Times New Roman"/>
          <w:b/>
          <w:sz w:val="28"/>
          <w:szCs w:val="28"/>
        </w:rPr>
      </w:pPr>
      <w:r>
        <w:rPr>
          <w:rFonts w:ascii="宋体" w:eastAsia="宋体" w:hAnsi="宋体" w:cs="Times New Roman" w:hint="eastAsia"/>
          <w:b/>
          <w:sz w:val="28"/>
          <w:szCs w:val="28"/>
        </w:rPr>
        <w:t>浙商惠丰定期开放债券型证券投资基金</w:t>
      </w:r>
    </w:p>
    <w:p w:rsidR="009B1638" w:rsidRDefault="00997D9C">
      <w:pPr>
        <w:spacing w:line="360" w:lineRule="auto"/>
        <w:ind w:firstLine="420"/>
        <w:jc w:val="center"/>
        <w:rPr>
          <w:rFonts w:ascii="宋体" w:eastAsia="宋体" w:hAnsi="宋体" w:cs="Times New Roman"/>
          <w:b/>
          <w:sz w:val="28"/>
          <w:szCs w:val="28"/>
        </w:rPr>
      </w:pPr>
      <w:r>
        <w:rPr>
          <w:rFonts w:ascii="宋体" w:eastAsia="宋体" w:hAnsi="宋体" w:cs="Times New Roman" w:hint="eastAsia"/>
          <w:b/>
          <w:sz w:val="28"/>
          <w:szCs w:val="28"/>
        </w:rPr>
        <w:t>基金份额持有人大会表决结果暨决议生效的公告</w:t>
      </w:r>
    </w:p>
    <w:p w:rsidR="009B1638" w:rsidRDefault="009B1638">
      <w:pPr>
        <w:spacing w:line="360" w:lineRule="auto"/>
        <w:ind w:firstLine="420"/>
        <w:jc w:val="center"/>
        <w:rPr>
          <w:rFonts w:ascii="宋体" w:eastAsia="宋体" w:hAnsi="宋体" w:cs="Times New Roman"/>
          <w:b/>
          <w:sz w:val="28"/>
          <w:szCs w:val="28"/>
        </w:rPr>
      </w:pPr>
    </w:p>
    <w:p w:rsidR="009B1638" w:rsidRDefault="00997D9C">
      <w:pPr>
        <w:spacing w:line="420" w:lineRule="exact"/>
        <w:ind w:firstLineChars="200" w:firstLine="420"/>
        <w:rPr>
          <w:rFonts w:ascii="宋体" w:eastAsia="宋体" w:hAnsi="宋体" w:cs="Times New Roman"/>
          <w:szCs w:val="21"/>
        </w:rPr>
      </w:pPr>
      <w:r>
        <w:rPr>
          <w:rFonts w:ascii="宋体" w:eastAsia="宋体" w:hAnsi="宋体" w:cs="华文仿宋" w:hint="eastAsia"/>
          <w:kern w:val="0"/>
          <w:szCs w:val="21"/>
        </w:rPr>
        <w:t>依</w:t>
      </w:r>
      <w:r>
        <w:rPr>
          <w:rFonts w:ascii="宋体" w:eastAsia="宋体" w:hAnsi="宋体" w:cs="Times New Roman" w:hint="eastAsia"/>
          <w:szCs w:val="21"/>
        </w:rPr>
        <w:t>据《中华人民共和国证券投资基金法》、《公开募集证券投资基金运作管理办法》、《浙商惠丰定期开放债券型证券投资基金基金合同》的有关规定，现将浙商基金管理有限公司（以下简称“本公司”）旗下浙商惠丰定期开放债券型证券投资基金（以下简称“本基金”）基金份额持有人大会的决议及相关事项公告如下：</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一、</w:t>
      </w:r>
      <w:r>
        <w:rPr>
          <w:rFonts w:ascii="宋体" w:eastAsia="宋体" w:hAnsi="宋体" w:cs="Times New Roman"/>
          <w:szCs w:val="21"/>
        </w:rPr>
        <w:t xml:space="preserve"> </w:t>
      </w:r>
      <w:r>
        <w:rPr>
          <w:rFonts w:ascii="宋体" w:eastAsia="宋体" w:hAnsi="宋体" w:cs="Times New Roman" w:hint="eastAsia"/>
          <w:szCs w:val="21"/>
        </w:rPr>
        <w:t>本次基金份额持有人大会会议情况</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本基金以通讯方式召开了基金份额持有人大会，会议审议了《</w:t>
      </w:r>
      <w:r>
        <w:rPr>
          <w:rFonts w:ascii="Times New Roman" w:eastAsia="宋体" w:hAnsi="Times New Roman" w:cs="Times New Roman" w:hint="eastAsia"/>
        </w:rPr>
        <w:t>关于终止浙商惠丰定期开放债券型证券投资基金基金合同有关事项的议案</w:t>
      </w:r>
      <w:r>
        <w:rPr>
          <w:rFonts w:ascii="宋体" w:eastAsia="宋体" w:hAnsi="宋体" w:cs="Times New Roman" w:hint="eastAsia"/>
          <w:szCs w:val="21"/>
        </w:rPr>
        <w:t>》（以下简称“本次会议议案”），并由参加大会的基金份额持有人对本次会议议案进行表决。大会表决投票时间从自</w:t>
      </w:r>
      <w:r>
        <w:rPr>
          <w:rFonts w:ascii="宋体" w:eastAsia="宋体" w:hAnsi="宋体" w:cs="Times New Roman" w:hint="eastAsia"/>
          <w:szCs w:val="21"/>
        </w:rPr>
        <w:t>202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5</w:t>
      </w:r>
      <w:r>
        <w:rPr>
          <w:rFonts w:ascii="宋体" w:eastAsia="宋体" w:hAnsi="宋体" w:cs="Times New Roman" w:hint="eastAsia"/>
          <w:szCs w:val="21"/>
        </w:rPr>
        <w:t>月</w:t>
      </w:r>
      <w:r>
        <w:rPr>
          <w:rFonts w:ascii="宋体" w:eastAsia="宋体" w:hAnsi="宋体" w:cs="Times New Roman"/>
          <w:szCs w:val="21"/>
        </w:rPr>
        <w:t>16</w:t>
      </w:r>
      <w:r>
        <w:rPr>
          <w:rFonts w:ascii="宋体" w:eastAsia="宋体" w:hAnsi="宋体" w:cs="Times New Roman" w:hint="eastAsia"/>
          <w:szCs w:val="21"/>
        </w:rPr>
        <w:t>日起，至</w:t>
      </w:r>
      <w:r>
        <w:rPr>
          <w:rFonts w:ascii="宋体" w:eastAsia="宋体" w:hAnsi="宋体" w:cs="Times New Roman" w:hint="eastAsia"/>
          <w:szCs w:val="21"/>
        </w:rPr>
        <w:t>202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6</w:t>
      </w:r>
      <w:r>
        <w:rPr>
          <w:rFonts w:ascii="宋体" w:eastAsia="宋体" w:hAnsi="宋体" w:cs="Times New Roman" w:hint="eastAsia"/>
          <w:szCs w:val="21"/>
        </w:rPr>
        <w:t>月</w:t>
      </w:r>
      <w:r>
        <w:rPr>
          <w:rFonts w:ascii="宋体" w:eastAsia="宋体" w:hAnsi="宋体" w:cs="Times New Roman"/>
          <w:szCs w:val="21"/>
        </w:rPr>
        <w:t>15</w:t>
      </w:r>
      <w:r>
        <w:rPr>
          <w:rFonts w:ascii="宋体" w:eastAsia="宋体" w:hAnsi="宋体" w:cs="Times New Roman" w:hint="eastAsia"/>
          <w:szCs w:val="21"/>
        </w:rPr>
        <w:t>日</w:t>
      </w:r>
      <w:r>
        <w:rPr>
          <w:rFonts w:ascii="宋体" w:eastAsia="宋体" w:hAnsi="宋体" w:cs="Times New Roman"/>
          <w:szCs w:val="21"/>
        </w:rPr>
        <w:t>17</w:t>
      </w:r>
      <w:r>
        <w:rPr>
          <w:rFonts w:ascii="宋体" w:eastAsia="宋体" w:hAnsi="宋体" w:cs="Times New Roman"/>
          <w:szCs w:val="21"/>
        </w:rPr>
        <w:t>：</w:t>
      </w:r>
      <w:r>
        <w:rPr>
          <w:rFonts w:ascii="宋体" w:eastAsia="宋体" w:hAnsi="宋体" w:cs="Times New Roman"/>
          <w:szCs w:val="21"/>
        </w:rPr>
        <w:t>00</w:t>
      </w:r>
      <w:r>
        <w:rPr>
          <w:rFonts w:ascii="宋体" w:eastAsia="宋体" w:hAnsi="宋体" w:cs="Times New Roman" w:hint="eastAsia"/>
          <w:szCs w:val="21"/>
        </w:rPr>
        <w:t>止（以基金管理人收到表决票时间为准）。参加本次大会的基金份额持有人</w:t>
      </w:r>
      <w:bookmarkStart w:id="0" w:name="_Hlk114586443"/>
      <w:r>
        <w:rPr>
          <w:rFonts w:ascii="宋体" w:eastAsia="宋体" w:hAnsi="宋体" w:cs="Times New Roman" w:hint="eastAsia"/>
          <w:szCs w:val="21"/>
        </w:rPr>
        <w:t>及其代理人所代表的</w:t>
      </w:r>
      <w:bookmarkStart w:id="1" w:name="_Hlk43208930"/>
      <w:bookmarkEnd w:id="0"/>
      <w:r>
        <w:rPr>
          <w:rFonts w:ascii="宋体" w:eastAsia="宋体" w:hAnsi="宋体" w:cs="Times New Roman" w:hint="eastAsia"/>
          <w:szCs w:val="21"/>
        </w:rPr>
        <w:t>基金份额为</w:t>
      </w:r>
      <w:bookmarkEnd w:id="1"/>
      <w:r>
        <w:rPr>
          <w:rFonts w:ascii="宋体" w:eastAsia="宋体" w:hAnsi="宋体" w:cs="Times New Roman"/>
          <w:szCs w:val="21"/>
        </w:rPr>
        <w:t>14,218,409.33</w:t>
      </w:r>
      <w:r>
        <w:rPr>
          <w:rFonts w:ascii="宋体" w:eastAsia="宋体" w:hAnsi="宋体" w:cs="Times New Roman" w:hint="eastAsia"/>
          <w:szCs w:val="21"/>
        </w:rPr>
        <w:t>份，占权益登记日（权益登记日为</w:t>
      </w:r>
      <w:r>
        <w:rPr>
          <w:rFonts w:ascii="宋体" w:eastAsia="宋体" w:hAnsi="宋体" w:cs="Times New Roman" w:hint="eastAsia"/>
          <w:szCs w:val="21"/>
        </w:rPr>
        <w:t>202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5</w:t>
      </w:r>
      <w:r>
        <w:rPr>
          <w:rFonts w:ascii="宋体" w:eastAsia="宋体" w:hAnsi="宋体" w:cs="Times New Roman" w:hint="eastAsia"/>
          <w:szCs w:val="21"/>
        </w:rPr>
        <w:t>月</w:t>
      </w:r>
      <w:r>
        <w:rPr>
          <w:rFonts w:ascii="宋体" w:eastAsia="宋体" w:hAnsi="宋体" w:cs="Times New Roman"/>
          <w:szCs w:val="21"/>
        </w:rPr>
        <w:t>16</w:t>
      </w:r>
      <w:r>
        <w:rPr>
          <w:rFonts w:ascii="宋体" w:eastAsia="宋体" w:hAnsi="宋体" w:cs="Times New Roman" w:hint="eastAsia"/>
          <w:szCs w:val="21"/>
        </w:rPr>
        <w:t>日）基金总份额的</w:t>
      </w:r>
      <w:r>
        <w:rPr>
          <w:rFonts w:ascii="宋体" w:eastAsia="宋体" w:hAnsi="宋体" w:cs="Times New Roman"/>
          <w:szCs w:val="21"/>
        </w:rPr>
        <w:t>94.70%</w:t>
      </w:r>
      <w:r>
        <w:rPr>
          <w:rFonts w:ascii="宋体" w:eastAsia="宋体" w:hAnsi="宋体" w:cs="Times New Roman" w:hint="eastAsia"/>
          <w:szCs w:val="21"/>
        </w:rPr>
        <w:t>，其中同意的份额为：</w:t>
      </w:r>
      <w:r>
        <w:rPr>
          <w:rFonts w:ascii="宋体" w:eastAsia="宋体" w:hAnsi="宋体" w:cs="Times New Roman"/>
          <w:szCs w:val="21"/>
        </w:rPr>
        <w:t>14,218,409.33</w:t>
      </w:r>
      <w:r>
        <w:rPr>
          <w:rFonts w:ascii="宋体" w:eastAsia="宋体" w:hAnsi="宋体" w:cs="Times New Roman" w:hint="eastAsia"/>
          <w:szCs w:val="21"/>
        </w:rPr>
        <w:t>份，占出席大会份额的</w:t>
      </w:r>
      <w:r>
        <w:rPr>
          <w:rFonts w:ascii="宋体" w:eastAsia="宋体" w:hAnsi="宋体" w:cs="Times New Roman" w:hint="eastAsia"/>
          <w:szCs w:val="21"/>
        </w:rPr>
        <w:t>100%</w:t>
      </w:r>
      <w:r>
        <w:rPr>
          <w:rFonts w:ascii="宋体" w:eastAsia="宋体" w:hAnsi="宋体" w:cs="Times New Roman" w:hint="eastAsia"/>
          <w:szCs w:val="21"/>
        </w:rPr>
        <w:t>，反对的份额为</w:t>
      </w:r>
      <w:r>
        <w:rPr>
          <w:rFonts w:ascii="宋体" w:eastAsia="宋体" w:hAnsi="宋体" w:cs="Times New Roman" w:hint="eastAsia"/>
          <w:szCs w:val="21"/>
        </w:rPr>
        <w:t>0</w:t>
      </w:r>
      <w:r>
        <w:rPr>
          <w:rFonts w:ascii="宋体" w:eastAsia="宋体" w:hAnsi="宋体" w:cs="Times New Roman" w:hint="eastAsia"/>
          <w:szCs w:val="21"/>
        </w:rPr>
        <w:t>份</w:t>
      </w:r>
      <w:r>
        <w:rPr>
          <w:rFonts w:ascii="宋体" w:eastAsia="宋体" w:hAnsi="宋体" w:cs="Times New Roman" w:hint="eastAsia"/>
          <w:szCs w:val="21"/>
        </w:rPr>
        <w:t>，弃权的份额为</w:t>
      </w:r>
      <w:r>
        <w:rPr>
          <w:rFonts w:ascii="宋体" w:eastAsia="宋体" w:hAnsi="宋体" w:cs="Times New Roman" w:hint="eastAsia"/>
          <w:szCs w:val="21"/>
        </w:rPr>
        <w:t>0</w:t>
      </w:r>
      <w:r>
        <w:rPr>
          <w:rFonts w:ascii="宋体" w:eastAsia="宋体" w:hAnsi="宋体" w:cs="Times New Roman" w:hint="eastAsia"/>
          <w:szCs w:val="21"/>
        </w:rPr>
        <w:t>份。</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参会的基金份额持有人及其代理人所代表的</w:t>
      </w:r>
      <w:r>
        <w:rPr>
          <w:rFonts w:ascii="宋体" w:eastAsia="宋体" w:hAnsi="宋体" w:cs="Times New Roman"/>
          <w:szCs w:val="21"/>
        </w:rPr>
        <w:t>14,218,409.33</w:t>
      </w:r>
      <w:r>
        <w:rPr>
          <w:rFonts w:ascii="宋体" w:eastAsia="宋体" w:hAnsi="宋体" w:cs="Times New Roman" w:hint="eastAsia"/>
          <w:szCs w:val="21"/>
        </w:rPr>
        <w:t>份有效的基金份额（超过权益登记日基金总份额的</w:t>
      </w:r>
      <w:r>
        <w:rPr>
          <w:rFonts w:ascii="宋体" w:eastAsia="宋体" w:hAnsi="宋体" w:cs="Times New Roman" w:hint="eastAsia"/>
          <w:szCs w:val="21"/>
        </w:rPr>
        <w:t>50%</w:t>
      </w:r>
      <w:r>
        <w:rPr>
          <w:rFonts w:ascii="宋体" w:eastAsia="宋体" w:hAnsi="宋体" w:cs="Times New Roman" w:hint="eastAsia"/>
          <w:szCs w:val="21"/>
        </w:rPr>
        <w:t>）对本次会议议案进行了审议，并全票表决通过。同意本次会议议案的基金份额符合《中华人民共和国证券投资基金法》、《公开募集证券投资基金运作管理办法》的有关规定。本次会议议案经全票表决同意，有效通过。</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此次持有人大会的计票于</w:t>
      </w:r>
      <w:r>
        <w:rPr>
          <w:rFonts w:ascii="宋体" w:eastAsia="宋体" w:hAnsi="宋体" w:cs="Times New Roman"/>
          <w:szCs w:val="21"/>
        </w:rPr>
        <w:t>20</w:t>
      </w:r>
      <w:r>
        <w:rPr>
          <w:rFonts w:ascii="宋体" w:eastAsia="宋体" w:hAnsi="宋体" w:cs="Times New Roman" w:hint="eastAsia"/>
          <w:szCs w:val="21"/>
        </w:rPr>
        <w:t>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6</w:t>
      </w:r>
      <w:r>
        <w:rPr>
          <w:rFonts w:ascii="宋体" w:eastAsia="宋体" w:hAnsi="宋体" w:cs="Times New Roman" w:hint="eastAsia"/>
          <w:szCs w:val="21"/>
        </w:rPr>
        <w:t>月</w:t>
      </w:r>
      <w:r>
        <w:rPr>
          <w:rFonts w:ascii="宋体" w:eastAsia="宋体" w:hAnsi="宋体" w:cs="Times New Roman"/>
          <w:szCs w:val="21"/>
        </w:rPr>
        <w:t>16</w:t>
      </w:r>
      <w:r>
        <w:rPr>
          <w:rFonts w:ascii="宋体" w:eastAsia="宋体" w:hAnsi="宋体" w:cs="Times New Roman" w:hint="eastAsia"/>
          <w:szCs w:val="21"/>
        </w:rPr>
        <w:t>日在本基金的托管人杭州银行股份有限公司授权代表的监督及上海源泰律师事务所的见证下进行，并由上海市东方公证处对计票过程及结果进行了公证。本次持</w:t>
      </w:r>
      <w:r>
        <w:rPr>
          <w:rFonts w:ascii="宋体" w:eastAsia="宋体" w:hAnsi="宋体" w:cs="Times New Roman" w:hint="eastAsia"/>
          <w:szCs w:val="21"/>
        </w:rPr>
        <w:t>有人大会的公证费</w:t>
      </w:r>
      <w:r>
        <w:rPr>
          <w:rFonts w:ascii="宋体" w:eastAsia="宋体" w:hAnsi="宋体" w:cs="Times New Roman"/>
          <w:szCs w:val="21"/>
        </w:rPr>
        <w:t>10</w:t>
      </w:r>
      <w:r>
        <w:rPr>
          <w:rFonts w:ascii="宋体" w:eastAsia="宋体" w:hAnsi="宋体" w:cs="Times New Roman" w:hint="eastAsia"/>
          <w:szCs w:val="21"/>
        </w:rPr>
        <w:t>,</w:t>
      </w:r>
      <w:r>
        <w:rPr>
          <w:rFonts w:ascii="宋体" w:eastAsia="宋体" w:hAnsi="宋体" w:cs="Times New Roman"/>
          <w:szCs w:val="21"/>
        </w:rPr>
        <w:t>000</w:t>
      </w:r>
      <w:r>
        <w:rPr>
          <w:rFonts w:ascii="宋体" w:eastAsia="宋体" w:hAnsi="宋体" w:cs="Times New Roman" w:hint="eastAsia"/>
          <w:szCs w:val="21"/>
        </w:rPr>
        <w:t>元，律师费</w:t>
      </w:r>
      <w:r>
        <w:rPr>
          <w:rFonts w:ascii="宋体" w:eastAsia="宋体" w:hAnsi="宋体" w:cs="Times New Roman"/>
          <w:szCs w:val="21"/>
        </w:rPr>
        <w:t>20,000</w:t>
      </w:r>
      <w:r>
        <w:rPr>
          <w:rFonts w:ascii="宋体" w:eastAsia="宋体" w:hAnsi="宋体" w:cs="Times New Roman"/>
          <w:szCs w:val="21"/>
        </w:rPr>
        <w:t>元</w:t>
      </w:r>
      <w:r>
        <w:rPr>
          <w:rFonts w:ascii="宋体" w:eastAsia="宋体" w:hAnsi="宋体" w:cs="Times New Roman" w:hint="eastAsia"/>
          <w:szCs w:val="21"/>
        </w:rPr>
        <w:t>，合计</w:t>
      </w:r>
      <w:r>
        <w:rPr>
          <w:rFonts w:ascii="宋体" w:eastAsia="宋体" w:hAnsi="宋体" w:cs="Times New Roman"/>
          <w:szCs w:val="21"/>
        </w:rPr>
        <w:t>30,000</w:t>
      </w:r>
      <w:r>
        <w:rPr>
          <w:rFonts w:ascii="宋体" w:eastAsia="宋体" w:hAnsi="宋体" w:cs="Times New Roman" w:hint="eastAsia"/>
          <w:szCs w:val="21"/>
        </w:rPr>
        <w:t>元，由基金管理人承担。</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二、</w:t>
      </w:r>
      <w:r>
        <w:rPr>
          <w:rFonts w:ascii="宋体" w:eastAsia="宋体" w:hAnsi="宋体" w:cs="Times New Roman"/>
          <w:szCs w:val="21"/>
        </w:rPr>
        <w:t xml:space="preserve"> </w:t>
      </w:r>
      <w:r>
        <w:rPr>
          <w:rFonts w:ascii="宋体" w:eastAsia="宋体" w:hAnsi="宋体" w:cs="Times New Roman" w:hint="eastAsia"/>
          <w:szCs w:val="21"/>
        </w:rPr>
        <w:t>本次基金份额持有人大会决议的生效</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根据《公开募集证券投资基金运作管理办法》的规定，基金份额持有人大会决定的事项自表决通过之日起生效。本次基金份额持有人大会于</w:t>
      </w:r>
      <w:r>
        <w:rPr>
          <w:rFonts w:ascii="宋体" w:eastAsia="宋体" w:hAnsi="宋体" w:cs="Times New Roman"/>
          <w:szCs w:val="21"/>
        </w:rPr>
        <w:t>20</w:t>
      </w:r>
      <w:r>
        <w:rPr>
          <w:rFonts w:ascii="宋体" w:eastAsia="宋体" w:hAnsi="宋体" w:cs="Times New Roman" w:hint="eastAsia"/>
          <w:szCs w:val="21"/>
        </w:rPr>
        <w:t>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6</w:t>
      </w:r>
      <w:r>
        <w:rPr>
          <w:rFonts w:ascii="宋体" w:eastAsia="宋体" w:hAnsi="宋体" w:cs="Times New Roman" w:hint="eastAsia"/>
          <w:szCs w:val="21"/>
        </w:rPr>
        <w:t>月</w:t>
      </w:r>
      <w:r>
        <w:rPr>
          <w:rFonts w:ascii="宋体" w:eastAsia="宋体" w:hAnsi="宋体" w:cs="Times New Roman"/>
          <w:szCs w:val="21"/>
        </w:rPr>
        <w:t>16</w:t>
      </w:r>
      <w:r>
        <w:rPr>
          <w:rFonts w:ascii="宋体" w:eastAsia="宋体" w:hAnsi="宋体" w:cs="Times New Roman" w:hint="eastAsia"/>
          <w:szCs w:val="21"/>
        </w:rPr>
        <w:t>日表决通过了《</w:t>
      </w:r>
      <w:r>
        <w:rPr>
          <w:rFonts w:ascii="Times New Roman" w:eastAsia="宋体" w:hAnsi="Times New Roman" w:cs="Times New Roman" w:hint="eastAsia"/>
        </w:rPr>
        <w:t>关于终止</w:t>
      </w:r>
      <w:r>
        <w:rPr>
          <w:rFonts w:ascii="宋体" w:eastAsia="宋体" w:hAnsi="宋体" w:cs="Times New Roman" w:hint="eastAsia"/>
          <w:szCs w:val="21"/>
        </w:rPr>
        <w:t>浙商惠丰定期开放债券型证券投资基金</w:t>
      </w:r>
      <w:r>
        <w:rPr>
          <w:rFonts w:ascii="Times New Roman" w:eastAsia="宋体" w:hAnsi="Times New Roman" w:cs="Times New Roman" w:hint="eastAsia"/>
        </w:rPr>
        <w:t>基金合同有关事项的议案</w:t>
      </w:r>
      <w:r>
        <w:rPr>
          <w:rFonts w:ascii="宋体" w:eastAsia="宋体" w:hAnsi="宋体" w:cs="Times New Roman" w:hint="eastAsia"/>
          <w:szCs w:val="21"/>
        </w:rPr>
        <w:t>》，本次大会决议自该日起生效。基金管理人将自该日起五日内将表决通过的事项报中国证券监督管理委员会备案。</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三、</w:t>
      </w:r>
      <w:r>
        <w:rPr>
          <w:rFonts w:ascii="宋体" w:eastAsia="宋体" w:hAnsi="宋体" w:cs="Times New Roman"/>
          <w:szCs w:val="21"/>
        </w:rPr>
        <w:t xml:space="preserve"> </w:t>
      </w:r>
      <w:r>
        <w:rPr>
          <w:rFonts w:ascii="宋体" w:eastAsia="宋体" w:hAnsi="宋体" w:cs="Times New Roman" w:hint="eastAsia"/>
          <w:szCs w:val="21"/>
        </w:rPr>
        <w:t>持有人大会决议相关事项的实施情况</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根据《关于终止浙商惠丰定期开放债券型证券投资基金基金合同有关事项的议案》及其附件，基金份额持有人大会决议生效并公告后的下一日（</w:t>
      </w:r>
      <w:r>
        <w:rPr>
          <w:rFonts w:ascii="宋体" w:eastAsia="宋体" w:hAnsi="宋体" w:cs="Times New Roman"/>
          <w:szCs w:val="21"/>
        </w:rPr>
        <w:t>2025</w:t>
      </w:r>
      <w:r>
        <w:rPr>
          <w:rFonts w:ascii="宋体" w:eastAsia="宋体" w:hAnsi="宋体" w:cs="Times New Roman" w:hint="eastAsia"/>
          <w:szCs w:val="21"/>
        </w:rPr>
        <w:t>年</w:t>
      </w:r>
      <w:r>
        <w:rPr>
          <w:rFonts w:ascii="宋体" w:eastAsia="宋体" w:hAnsi="宋体" w:cs="Times New Roman"/>
          <w:szCs w:val="21"/>
        </w:rPr>
        <w:t>6</w:t>
      </w:r>
      <w:r>
        <w:rPr>
          <w:rFonts w:ascii="宋体" w:eastAsia="宋体" w:hAnsi="宋体" w:cs="Times New Roman" w:hint="eastAsia"/>
          <w:szCs w:val="21"/>
        </w:rPr>
        <w:t>月</w:t>
      </w:r>
      <w:r>
        <w:rPr>
          <w:rFonts w:ascii="宋体" w:eastAsia="宋体" w:hAnsi="宋体" w:cs="Times New Roman"/>
          <w:szCs w:val="21"/>
        </w:rPr>
        <w:t>18</w:t>
      </w:r>
      <w:r>
        <w:rPr>
          <w:rFonts w:ascii="宋体" w:eastAsia="宋体" w:hAnsi="宋体" w:cs="Times New Roman" w:hint="eastAsia"/>
          <w:szCs w:val="21"/>
        </w:rPr>
        <w:t>日）起，本基金进</w:t>
      </w:r>
      <w:r>
        <w:rPr>
          <w:rFonts w:ascii="宋体" w:eastAsia="宋体" w:hAnsi="宋体" w:cs="Times New Roman" w:hint="eastAsia"/>
          <w:szCs w:val="21"/>
        </w:rPr>
        <w:lastRenderedPageBreak/>
        <w:t>入清算程序，基金管理人不再接受持有人提出的申购（含定期定额申购）、赎回、转换等相关业务的申请。本基金进入清算程序后，停止收取基金管理费、基金托管费、基金销售服务费。基金管理人将按照《浙商惠丰定期开放债券型证券投资基金基金合同》的约定，组织成立基金财产清算小组履行基金财产清算程序，并将清算结果及时予以公告。</w:t>
      </w:r>
    </w:p>
    <w:p w:rsidR="009B1638" w:rsidRDefault="00997D9C">
      <w:pPr>
        <w:spacing w:line="420" w:lineRule="exact"/>
        <w:ind w:firstLine="420"/>
        <w:rPr>
          <w:rFonts w:ascii="Times New Roman" w:eastAsia="宋体" w:hAnsi="Times New Roman" w:cs="Times New Roman"/>
          <w:kern w:val="0"/>
        </w:rPr>
      </w:pPr>
      <w:r>
        <w:rPr>
          <w:rFonts w:ascii="Times New Roman" w:eastAsia="宋体" w:hAnsi="Times New Roman" w:cs="Times New Roman" w:hint="eastAsia"/>
          <w:kern w:val="0"/>
        </w:rPr>
        <w:t>投资者可通过基金管理人网站</w:t>
      </w:r>
      <w:r>
        <w:rPr>
          <w:rFonts w:ascii="Times New Roman" w:eastAsia="宋体" w:hAnsi="Times New Roman" w:cs="Times New Roman" w:hint="eastAsia"/>
          <w:kern w:val="0"/>
        </w:rPr>
        <w:t>www.</w:t>
      </w:r>
      <w:r>
        <w:rPr>
          <w:rFonts w:ascii="Times New Roman" w:eastAsia="宋体" w:hAnsi="Times New Roman" w:cs="Times New Roman"/>
          <w:kern w:val="0"/>
        </w:rPr>
        <w:t>zsfun</w:t>
      </w:r>
      <w:r>
        <w:rPr>
          <w:rFonts w:ascii="Times New Roman" w:eastAsia="宋体" w:hAnsi="Times New Roman" w:cs="Times New Roman"/>
          <w:kern w:val="0"/>
        </w:rPr>
        <w:t>d</w:t>
      </w:r>
      <w:r>
        <w:rPr>
          <w:rFonts w:ascii="Times New Roman" w:eastAsia="宋体" w:hAnsi="Times New Roman" w:cs="Times New Roman" w:hint="eastAsia"/>
          <w:kern w:val="0"/>
        </w:rPr>
        <w:t>.com</w:t>
      </w:r>
      <w:r>
        <w:rPr>
          <w:rFonts w:ascii="Times New Roman" w:eastAsia="宋体" w:hAnsi="Times New Roman" w:cs="Times New Roman" w:hint="eastAsia"/>
          <w:kern w:val="0"/>
        </w:rPr>
        <w:t>查阅</w:t>
      </w:r>
      <w:r>
        <w:rPr>
          <w:rFonts w:ascii="宋体" w:eastAsia="宋体" w:hAnsi="宋体" w:cs="Times New Roman" w:hint="eastAsia"/>
          <w:szCs w:val="21"/>
        </w:rPr>
        <w:t>浙商惠丰定期开放债券型证券投资基金</w:t>
      </w:r>
      <w:r>
        <w:rPr>
          <w:rFonts w:ascii="Times New Roman" w:eastAsia="宋体" w:hAnsi="Times New Roman" w:cs="Times New Roman" w:hint="eastAsia"/>
          <w:kern w:val="0"/>
        </w:rPr>
        <w:t>的相关法律文件。</w:t>
      </w:r>
    </w:p>
    <w:p w:rsidR="009B1638" w:rsidRDefault="009B1638">
      <w:pPr>
        <w:spacing w:line="420" w:lineRule="exact"/>
        <w:ind w:firstLine="420"/>
        <w:rPr>
          <w:rFonts w:ascii="Times New Roman" w:eastAsia="宋体" w:hAnsi="Times New Roman" w:cs="Times New Roman"/>
          <w:kern w:val="0"/>
        </w:rPr>
      </w:pP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四、备查文件</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、《浙商基金管理有限公司关于以通讯方式召开浙商惠丰定期开放债券型证券投资基金基金份额持有人大会的公告》</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、《浙商基金管理有限公司关于以通讯方式召开浙商惠丰定期开放债券型证券投资基金基金份额持有人大会的第一次提示性公告》</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、《浙商基金管理有限公司关于以通讯方式召开浙商惠丰定期开放债券型证券投资基金基金份额持有人大会的第二次提示性公告》</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、上海市东方公证处出具的公证书</w:t>
      </w:r>
    </w:p>
    <w:p w:rsidR="009B1638" w:rsidRDefault="00997D9C">
      <w:pPr>
        <w:spacing w:line="420" w:lineRule="exact"/>
        <w:ind w:firstLine="420"/>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、上海源泰律师事务所出具的法律意见</w:t>
      </w:r>
    </w:p>
    <w:p w:rsidR="009B1638" w:rsidRDefault="009B1638">
      <w:pPr>
        <w:spacing w:line="420" w:lineRule="exact"/>
        <w:ind w:firstLine="420"/>
        <w:rPr>
          <w:rFonts w:ascii="宋体" w:eastAsia="宋体" w:hAnsi="宋体" w:cs="Times New Roman"/>
          <w:szCs w:val="21"/>
        </w:rPr>
      </w:pPr>
    </w:p>
    <w:p w:rsidR="009B1638" w:rsidRDefault="00997D9C">
      <w:pPr>
        <w:spacing w:line="420" w:lineRule="exact"/>
        <w:ind w:firstLine="420"/>
        <w:rPr>
          <w:rFonts w:ascii="宋体" w:eastAsia="宋体" w:hAnsi="宋体" w:cs="Times New Roman"/>
          <w:szCs w:val="21"/>
        </w:rPr>
      </w:pPr>
      <w:r>
        <w:rPr>
          <w:rFonts w:ascii="宋体" w:eastAsia="宋体" w:hAnsi="宋体" w:cs="Times New Roman" w:hint="eastAsia"/>
          <w:szCs w:val="21"/>
        </w:rPr>
        <w:t>特此公告。</w:t>
      </w:r>
    </w:p>
    <w:p w:rsidR="009B1638" w:rsidRDefault="009B1638">
      <w:pPr>
        <w:spacing w:line="420" w:lineRule="exact"/>
        <w:ind w:firstLine="420"/>
        <w:jc w:val="right"/>
        <w:rPr>
          <w:rFonts w:ascii="宋体" w:eastAsia="宋体" w:hAnsi="宋体" w:cs="Times New Roman"/>
          <w:szCs w:val="21"/>
        </w:rPr>
      </w:pPr>
    </w:p>
    <w:p w:rsidR="009B1638" w:rsidRDefault="009B1638">
      <w:pPr>
        <w:spacing w:line="420" w:lineRule="exact"/>
        <w:ind w:firstLine="420"/>
        <w:jc w:val="right"/>
        <w:rPr>
          <w:rFonts w:ascii="宋体" w:eastAsia="宋体" w:hAnsi="宋体" w:cs="Times New Roman"/>
          <w:szCs w:val="21"/>
        </w:rPr>
      </w:pPr>
    </w:p>
    <w:p w:rsidR="009B1638" w:rsidRDefault="009B1638">
      <w:pPr>
        <w:spacing w:line="420" w:lineRule="exact"/>
        <w:ind w:firstLine="420"/>
        <w:jc w:val="right"/>
        <w:rPr>
          <w:rFonts w:ascii="宋体" w:eastAsia="宋体" w:hAnsi="宋体" w:cs="Times New Roman"/>
          <w:szCs w:val="21"/>
        </w:rPr>
      </w:pPr>
    </w:p>
    <w:p w:rsidR="009B1638" w:rsidRDefault="00997D9C">
      <w:pPr>
        <w:spacing w:line="420" w:lineRule="exact"/>
        <w:ind w:firstLine="420"/>
        <w:jc w:val="right"/>
        <w:rPr>
          <w:rFonts w:ascii="宋体" w:eastAsia="宋体" w:hAnsi="宋体" w:cs="Times New Roman"/>
          <w:szCs w:val="21"/>
        </w:rPr>
      </w:pPr>
      <w:bookmarkStart w:id="2" w:name="_GoBack"/>
      <w:r>
        <w:rPr>
          <w:rFonts w:ascii="宋体" w:eastAsia="宋体" w:hAnsi="宋体" w:cs="Times New Roman" w:hint="eastAsia"/>
          <w:szCs w:val="21"/>
        </w:rPr>
        <w:t>浙商基金</w:t>
      </w:r>
      <w:bookmarkEnd w:id="2"/>
      <w:r>
        <w:rPr>
          <w:rFonts w:ascii="宋体" w:eastAsia="宋体" w:hAnsi="宋体" w:cs="Times New Roman" w:hint="eastAsia"/>
          <w:szCs w:val="21"/>
        </w:rPr>
        <w:t>管理有限公司</w:t>
      </w:r>
    </w:p>
    <w:p w:rsidR="009B1638" w:rsidRDefault="00997D9C">
      <w:pPr>
        <w:spacing w:line="420" w:lineRule="exact"/>
        <w:ind w:firstLine="420"/>
        <w:jc w:val="right"/>
        <w:rPr>
          <w:rFonts w:ascii="宋体" w:eastAsia="宋体" w:hAnsi="宋体" w:cs="Times New Roman"/>
          <w:szCs w:val="21"/>
        </w:rPr>
      </w:pPr>
      <w:r>
        <w:rPr>
          <w:rFonts w:ascii="宋体" w:eastAsia="宋体" w:hAnsi="宋体" w:cs="Times New Roman"/>
          <w:szCs w:val="21"/>
        </w:rPr>
        <w:t>20</w:t>
      </w:r>
      <w:r>
        <w:rPr>
          <w:rFonts w:ascii="宋体" w:eastAsia="宋体" w:hAnsi="宋体" w:cs="Times New Roman" w:hint="eastAsia"/>
          <w:szCs w:val="21"/>
        </w:rPr>
        <w:t>2</w:t>
      </w:r>
      <w:r>
        <w:rPr>
          <w:rFonts w:ascii="宋体" w:eastAsia="宋体" w:hAnsi="宋体" w:cs="Times New Roman"/>
          <w:szCs w:val="21"/>
        </w:rPr>
        <w:t>5</w:t>
      </w:r>
      <w:r>
        <w:rPr>
          <w:rFonts w:ascii="宋体" w:eastAsia="宋体" w:hAnsi="宋体" w:cs="Times New Roman" w:hint="eastAsia"/>
          <w:szCs w:val="21"/>
        </w:rPr>
        <w:t>年</w:t>
      </w:r>
      <w:r>
        <w:rPr>
          <w:rFonts w:ascii="宋体" w:eastAsia="宋体" w:hAnsi="宋体" w:cs="Times New Roman"/>
          <w:szCs w:val="21"/>
        </w:rPr>
        <w:t>6</w:t>
      </w:r>
      <w:r>
        <w:rPr>
          <w:rFonts w:ascii="宋体" w:eastAsia="宋体" w:hAnsi="宋体" w:cs="Times New Roman" w:hint="eastAsia"/>
          <w:szCs w:val="21"/>
        </w:rPr>
        <w:t>月</w:t>
      </w:r>
      <w:r>
        <w:rPr>
          <w:rFonts w:ascii="宋体" w:eastAsia="宋体" w:hAnsi="宋体" w:cs="Times New Roman"/>
          <w:szCs w:val="21"/>
        </w:rPr>
        <w:t>17</w:t>
      </w:r>
      <w:r>
        <w:rPr>
          <w:rFonts w:ascii="宋体" w:eastAsia="宋体" w:hAnsi="宋体" w:cs="Times New Roman" w:hint="eastAsia"/>
          <w:szCs w:val="21"/>
        </w:rPr>
        <w:t>日</w:t>
      </w:r>
    </w:p>
    <w:p w:rsidR="009B1638" w:rsidRDefault="00997D9C">
      <w:pPr>
        <w:widowControl/>
        <w:jc w:val="left"/>
        <w:rPr>
          <w:rFonts w:ascii="宋体" w:eastAsia="宋体" w:hAnsi="宋体" w:cs="Times New Roman"/>
          <w:szCs w:val="21"/>
        </w:rPr>
      </w:pPr>
      <w:r>
        <w:rPr>
          <w:rFonts w:ascii="宋体" w:eastAsia="宋体" w:hAnsi="宋体" w:cs="Times New Roman"/>
          <w:szCs w:val="21"/>
        </w:rPr>
        <w:br w:type="page"/>
      </w:r>
    </w:p>
    <w:p w:rsidR="009B1638" w:rsidRDefault="009B1638">
      <w:pPr>
        <w:widowControl/>
        <w:jc w:val="left"/>
        <w:rPr>
          <w:rFonts w:ascii="宋体" w:eastAsia="宋体" w:hAnsi="宋体" w:cs="Times New Roman"/>
          <w:szCs w:val="21"/>
        </w:rPr>
      </w:pPr>
    </w:p>
    <w:p w:rsidR="009B1638" w:rsidRDefault="00997D9C">
      <w:pPr>
        <w:widowControl/>
        <w:jc w:val="left"/>
        <w:rPr>
          <w:rFonts w:ascii="宋体" w:eastAsia="宋体" w:hAnsi="宋体" w:cs="Times New Roman"/>
          <w:szCs w:val="21"/>
        </w:rPr>
      </w:pPr>
      <w:r>
        <w:rPr>
          <w:rFonts w:ascii="宋体" w:eastAsia="宋体" w:hAnsi="宋体" w:cs="Times New Roman"/>
          <w:noProof/>
          <w:szCs w:val="21"/>
        </w:rPr>
        <w:drawing>
          <wp:inline distT="0" distB="0" distL="0" distR="0">
            <wp:extent cx="5568315" cy="8372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574880" cy="8382089"/>
                    </a:xfrm>
                    <a:prstGeom prst="rect">
                      <a:avLst/>
                    </a:prstGeom>
                  </pic:spPr>
                </pic:pic>
              </a:graphicData>
            </a:graphic>
          </wp:inline>
        </w:drawing>
      </w:r>
      <w:r>
        <w:rPr>
          <w:rFonts w:ascii="宋体" w:eastAsia="宋体" w:hAnsi="宋体" w:cs="Times New Roman"/>
          <w:szCs w:val="21"/>
        </w:rPr>
        <w:br w:type="page"/>
      </w:r>
    </w:p>
    <w:p w:rsidR="009B1638" w:rsidRDefault="00997D9C">
      <w:pPr>
        <w:widowControl/>
        <w:jc w:val="left"/>
        <w:rPr>
          <w:rFonts w:ascii="宋体" w:eastAsia="宋体" w:hAnsi="宋体" w:cs="Times New Roman"/>
          <w:szCs w:val="21"/>
        </w:rPr>
      </w:pPr>
      <w:r>
        <w:rPr>
          <w:rFonts w:ascii="宋体" w:eastAsia="宋体" w:hAnsi="宋体" w:cs="Times New Roman"/>
          <w:noProof/>
          <w:szCs w:val="21"/>
        </w:rPr>
        <w:drawing>
          <wp:inline distT="0" distB="0" distL="0" distR="0">
            <wp:extent cx="5574030" cy="85153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583021" cy="8528192"/>
                    </a:xfrm>
                    <a:prstGeom prst="rect">
                      <a:avLst/>
                    </a:prstGeom>
                  </pic:spPr>
                </pic:pic>
              </a:graphicData>
            </a:graphic>
          </wp:inline>
        </w:drawing>
      </w:r>
    </w:p>
    <w:p w:rsidR="009B1638" w:rsidRDefault="009B1638">
      <w:pPr>
        <w:widowControl/>
        <w:jc w:val="left"/>
        <w:rPr>
          <w:rFonts w:ascii="宋体" w:eastAsia="宋体" w:hAnsi="宋体" w:cs="Times New Roman"/>
          <w:szCs w:val="21"/>
        </w:rPr>
      </w:pPr>
    </w:p>
    <w:p w:rsidR="009B1638" w:rsidRDefault="009B1638">
      <w:pPr>
        <w:widowControl/>
        <w:jc w:val="left"/>
        <w:rPr>
          <w:rFonts w:ascii="宋体" w:eastAsia="宋体" w:hAnsi="宋体" w:cs="Times New Roman"/>
          <w:szCs w:val="21"/>
        </w:rPr>
      </w:pPr>
    </w:p>
    <w:p w:rsidR="009B1638" w:rsidRDefault="00997D9C">
      <w:pPr>
        <w:widowControl/>
        <w:jc w:val="left"/>
        <w:rPr>
          <w:rFonts w:ascii="宋体" w:eastAsia="宋体" w:hAnsi="宋体" w:cs="Times New Roman"/>
          <w:szCs w:val="21"/>
        </w:rPr>
      </w:pPr>
      <w:r>
        <w:rPr>
          <w:rFonts w:ascii="宋体" w:eastAsia="宋体" w:hAnsi="宋体" w:cs="Times New Roman"/>
          <w:noProof/>
          <w:szCs w:val="21"/>
        </w:rPr>
        <w:drawing>
          <wp:inline distT="0" distB="0" distL="0" distR="0">
            <wp:extent cx="5686425" cy="83794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stretch>
                      <a:fillRect/>
                    </a:stretch>
                  </pic:blipFill>
                  <pic:spPr>
                    <a:xfrm>
                      <a:off x="0" y="0"/>
                      <a:ext cx="5691116" cy="8386907"/>
                    </a:xfrm>
                    <a:prstGeom prst="rect">
                      <a:avLst/>
                    </a:prstGeom>
                  </pic:spPr>
                </pic:pic>
              </a:graphicData>
            </a:graphic>
          </wp:inline>
        </w:drawing>
      </w:r>
    </w:p>
    <w:sectPr w:rsidR="009B1638" w:rsidSect="009B163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华文仿宋">
    <w:panose1 w:val="02010600040101010101"/>
    <w:charset w:val="86"/>
    <w:family w:val="auto"/>
    <w:pitch w:val="default"/>
    <w:sig w:usb0="00000287" w:usb1="080F0000" w:usb2="00000000" w:usb3="00000000" w:csb0="0004009F" w:csb1="DFD70000"/>
  </w:font>
  <w:font w:name="等线 Light">
    <w:panose1 w:val="00000000000000000000"/>
    <w:charset w:val="86"/>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YTM1ZjdhZmNmYzUyNjExOTkwMTJlNTQwNjcyZGY3YWMifQ=="/>
  </w:docVars>
  <w:rsids>
    <w:rsidRoot w:val="0020326C"/>
    <w:rsid w:val="000306C9"/>
    <w:rsid w:val="00037E11"/>
    <w:rsid w:val="0008414A"/>
    <w:rsid w:val="00093B32"/>
    <w:rsid w:val="000A2FA9"/>
    <w:rsid w:val="000A41FC"/>
    <w:rsid w:val="000B1A58"/>
    <w:rsid w:val="000B5C10"/>
    <w:rsid w:val="000C3134"/>
    <w:rsid w:val="000C71E0"/>
    <w:rsid w:val="00100844"/>
    <w:rsid w:val="0011161D"/>
    <w:rsid w:val="00117153"/>
    <w:rsid w:val="00117755"/>
    <w:rsid w:val="00126F7C"/>
    <w:rsid w:val="00133FA1"/>
    <w:rsid w:val="00140AD5"/>
    <w:rsid w:val="00153A8A"/>
    <w:rsid w:val="00155779"/>
    <w:rsid w:val="00175D4F"/>
    <w:rsid w:val="00185685"/>
    <w:rsid w:val="00194737"/>
    <w:rsid w:val="0019747B"/>
    <w:rsid w:val="001A5169"/>
    <w:rsid w:val="001A5F3D"/>
    <w:rsid w:val="001C1D79"/>
    <w:rsid w:val="001C5C93"/>
    <w:rsid w:val="001D3F65"/>
    <w:rsid w:val="0020326C"/>
    <w:rsid w:val="002A7AD1"/>
    <w:rsid w:val="002F767F"/>
    <w:rsid w:val="00300294"/>
    <w:rsid w:val="003376B6"/>
    <w:rsid w:val="00344AA0"/>
    <w:rsid w:val="003458E2"/>
    <w:rsid w:val="0036257D"/>
    <w:rsid w:val="00362A43"/>
    <w:rsid w:val="00364873"/>
    <w:rsid w:val="00392CC7"/>
    <w:rsid w:val="003A4CA2"/>
    <w:rsid w:val="003A55DE"/>
    <w:rsid w:val="003B443B"/>
    <w:rsid w:val="0040554F"/>
    <w:rsid w:val="004218F3"/>
    <w:rsid w:val="00432864"/>
    <w:rsid w:val="00465989"/>
    <w:rsid w:val="00466367"/>
    <w:rsid w:val="00477B48"/>
    <w:rsid w:val="00481757"/>
    <w:rsid w:val="004B0A70"/>
    <w:rsid w:val="004B48FA"/>
    <w:rsid w:val="004D5A05"/>
    <w:rsid w:val="004F5DAC"/>
    <w:rsid w:val="004F7FBF"/>
    <w:rsid w:val="005028BD"/>
    <w:rsid w:val="00520BE9"/>
    <w:rsid w:val="00521055"/>
    <w:rsid w:val="00523485"/>
    <w:rsid w:val="00532F2D"/>
    <w:rsid w:val="00533F7C"/>
    <w:rsid w:val="00541499"/>
    <w:rsid w:val="00567107"/>
    <w:rsid w:val="00587FAF"/>
    <w:rsid w:val="00592426"/>
    <w:rsid w:val="005E363D"/>
    <w:rsid w:val="005F2290"/>
    <w:rsid w:val="00600361"/>
    <w:rsid w:val="00612816"/>
    <w:rsid w:val="00615208"/>
    <w:rsid w:val="006370B1"/>
    <w:rsid w:val="006403AF"/>
    <w:rsid w:val="00641C15"/>
    <w:rsid w:val="00661F4F"/>
    <w:rsid w:val="006740CD"/>
    <w:rsid w:val="00686602"/>
    <w:rsid w:val="006A181D"/>
    <w:rsid w:val="006B016B"/>
    <w:rsid w:val="006B77A0"/>
    <w:rsid w:val="006C4946"/>
    <w:rsid w:val="006D3559"/>
    <w:rsid w:val="006D6AD8"/>
    <w:rsid w:val="006E747A"/>
    <w:rsid w:val="00730687"/>
    <w:rsid w:val="007334BA"/>
    <w:rsid w:val="00753E0B"/>
    <w:rsid w:val="007550AF"/>
    <w:rsid w:val="007B3A28"/>
    <w:rsid w:val="007B6FC0"/>
    <w:rsid w:val="007C4AB0"/>
    <w:rsid w:val="007F56AB"/>
    <w:rsid w:val="00800919"/>
    <w:rsid w:val="00834DE7"/>
    <w:rsid w:val="00852E42"/>
    <w:rsid w:val="00863133"/>
    <w:rsid w:val="008779FF"/>
    <w:rsid w:val="008D00F3"/>
    <w:rsid w:val="008D0D22"/>
    <w:rsid w:val="008D2B15"/>
    <w:rsid w:val="008E4744"/>
    <w:rsid w:val="008F6E61"/>
    <w:rsid w:val="00922E48"/>
    <w:rsid w:val="0092495B"/>
    <w:rsid w:val="009338F5"/>
    <w:rsid w:val="00937948"/>
    <w:rsid w:val="00951EDA"/>
    <w:rsid w:val="00952725"/>
    <w:rsid w:val="009652E6"/>
    <w:rsid w:val="00967E05"/>
    <w:rsid w:val="00986DCC"/>
    <w:rsid w:val="00987B03"/>
    <w:rsid w:val="00997D72"/>
    <w:rsid w:val="00997D9C"/>
    <w:rsid w:val="009B1638"/>
    <w:rsid w:val="009C6553"/>
    <w:rsid w:val="009D3456"/>
    <w:rsid w:val="009E2CDC"/>
    <w:rsid w:val="009E53EE"/>
    <w:rsid w:val="009F6B7E"/>
    <w:rsid w:val="00A00286"/>
    <w:rsid w:val="00A31D86"/>
    <w:rsid w:val="00A50C31"/>
    <w:rsid w:val="00A83C56"/>
    <w:rsid w:val="00A938A9"/>
    <w:rsid w:val="00AA75B2"/>
    <w:rsid w:val="00AB498F"/>
    <w:rsid w:val="00AC2791"/>
    <w:rsid w:val="00AE2F46"/>
    <w:rsid w:val="00B15884"/>
    <w:rsid w:val="00B32B25"/>
    <w:rsid w:val="00B34197"/>
    <w:rsid w:val="00B3589E"/>
    <w:rsid w:val="00B3675B"/>
    <w:rsid w:val="00B513C1"/>
    <w:rsid w:val="00B51873"/>
    <w:rsid w:val="00BA33B0"/>
    <w:rsid w:val="00BA5A58"/>
    <w:rsid w:val="00BE6A03"/>
    <w:rsid w:val="00BF2578"/>
    <w:rsid w:val="00C00527"/>
    <w:rsid w:val="00C03642"/>
    <w:rsid w:val="00C038F5"/>
    <w:rsid w:val="00C537E7"/>
    <w:rsid w:val="00C74176"/>
    <w:rsid w:val="00C8193A"/>
    <w:rsid w:val="00CA06DF"/>
    <w:rsid w:val="00CB0F58"/>
    <w:rsid w:val="00CC0A5E"/>
    <w:rsid w:val="00CD6665"/>
    <w:rsid w:val="00CE58B0"/>
    <w:rsid w:val="00D16CB9"/>
    <w:rsid w:val="00D31341"/>
    <w:rsid w:val="00D407EC"/>
    <w:rsid w:val="00D51000"/>
    <w:rsid w:val="00D57EAF"/>
    <w:rsid w:val="00D76290"/>
    <w:rsid w:val="00D84B97"/>
    <w:rsid w:val="00D8645A"/>
    <w:rsid w:val="00D9253B"/>
    <w:rsid w:val="00DB000A"/>
    <w:rsid w:val="00DB3A4D"/>
    <w:rsid w:val="00E20D49"/>
    <w:rsid w:val="00E61AA8"/>
    <w:rsid w:val="00E663F2"/>
    <w:rsid w:val="00E707A8"/>
    <w:rsid w:val="00E80F31"/>
    <w:rsid w:val="00E81FFE"/>
    <w:rsid w:val="00E83089"/>
    <w:rsid w:val="00E927C1"/>
    <w:rsid w:val="00E94A55"/>
    <w:rsid w:val="00EA07FE"/>
    <w:rsid w:val="00EA4928"/>
    <w:rsid w:val="00EA78DC"/>
    <w:rsid w:val="00F00ADF"/>
    <w:rsid w:val="00F14008"/>
    <w:rsid w:val="00F160C8"/>
    <w:rsid w:val="00F37215"/>
    <w:rsid w:val="00F74AD5"/>
    <w:rsid w:val="00F83025"/>
    <w:rsid w:val="00F876F4"/>
    <w:rsid w:val="00F95BDC"/>
    <w:rsid w:val="00FA368B"/>
    <w:rsid w:val="00FC5CC4"/>
    <w:rsid w:val="00FD7FC4"/>
    <w:rsid w:val="00FE0EF6"/>
    <w:rsid w:val="00FF2075"/>
    <w:rsid w:val="00FF6D87"/>
    <w:rsid w:val="18F4475A"/>
    <w:rsid w:val="38244C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63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9B1638"/>
    <w:pPr>
      <w:jc w:val="left"/>
    </w:pPr>
  </w:style>
  <w:style w:type="paragraph" w:styleId="a4">
    <w:name w:val="Balloon Text"/>
    <w:basedOn w:val="a"/>
    <w:link w:val="Char0"/>
    <w:uiPriority w:val="99"/>
    <w:semiHidden/>
    <w:unhideWhenUsed/>
    <w:qFormat/>
    <w:rsid w:val="009B1638"/>
    <w:rPr>
      <w:sz w:val="18"/>
      <w:szCs w:val="18"/>
    </w:rPr>
  </w:style>
  <w:style w:type="paragraph" w:styleId="a5">
    <w:name w:val="footer"/>
    <w:basedOn w:val="a"/>
    <w:link w:val="Char1"/>
    <w:uiPriority w:val="99"/>
    <w:unhideWhenUsed/>
    <w:qFormat/>
    <w:rsid w:val="009B1638"/>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9B1638"/>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9B1638"/>
    <w:rPr>
      <w:b/>
      <w:bCs/>
    </w:rPr>
  </w:style>
  <w:style w:type="character" w:styleId="a8">
    <w:name w:val="annotation reference"/>
    <w:basedOn w:val="a0"/>
    <w:uiPriority w:val="99"/>
    <w:semiHidden/>
    <w:unhideWhenUsed/>
    <w:qFormat/>
    <w:rsid w:val="009B1638"/>
    <w:rPr>
      <w:sz w:val="21"/>
      <w:szCs w:val="21"/>
    </w:rPr>
  </w:style>
  <w:style w:type="character" w:customStyle="1" w:styleId="Char2">
    <w:name w:val="页眉 Char"/>
    <w:basedOn w:val="a0"/>
    <w:link w:val="a6"/>
    <w:uiPriority w:val="99"/>
    <w:qFormat/>
    <w:rsid w:val="009B1638"/>
    <w:rPr>
      <w:sz w:val="18"/>
      <w:szCs w:val="18"/>
    </w:rPr>
  </w:style>
  <w:style w:type="character" w:customStyle="1" w:styleId="Char1">
    <w:name w:val="页脚 Char"/>
    <w:basedOn w:val="a0"/>
    <w:link w:val="a5"/>
    <w:uiPriority w:val="99"/>
    <w:qFormat/>
    <w:rsid w:val="009B1638"/>
    <w:rPr>
      <w:sz w:val="18"/>
      <w:szCs w:val="18"/>
    </w:rPr>
  </w:style>
  <w:style w:type="paragraph" w:customStyle="1" w:styleId="1">
    <w:name w:val="修订1"/>
    <w:hidden/>
    <w:uiPriority w:val="99"/>
    <w:semiHidden/>
    <w:qFormat/>
    <w:rsid w:val="009B1638"/>
    <w:rPr>
      <w:kern w:val="2"/>
      <w:sz w:val="21"/>
      <w:szCs w:val="22"/>
    </w:rPr>
  </w:style>
  <w:style w:type="character" w:customStyle="1" w:styleId="Char0">
    <w:name w:val="批注框文本 Char"/>
    <w:basedOn w:val="a0"/>
    <w:link w:val="a4"/>
    <w:uiPriority w:val="99"/>
    <w:semiHidden/>
    <w:qFormat/>
    <w:rsid w:val="009B1638"/>
    <w:rPr>
      <w:kern w:val="2"/>
      <w:sz w:val="18"/>
      <w:szCs w:val="18"/>
    </w:rPr>
  </w:style>
  <w:style w:type="character" w:customStyle="1" w:styleId="Char">
    <w:name w:val="批注文字 Char"/>
    <w:basedOn w:val="a0"/>
    <w:link w:val="a3"/>
    <w:uiPriority w:val="99"/>
    <w:qFormat/>
    <w:rsid w:val="009B1638"/>
    <w:rPr>
      <w:kern w:val="2"/>
      <w:sz w:val="21"/>
      <w:szCs w:val="22"/>
    </w:rPr>
  </w:style>
  <w:style w:type="character" w:customStyle="1" w:styleId="Char3">
    <w:name w:val="批注主题 Char"/>
    <w:basedOn w:val="Char"/>
    <w:link w:val="a7"/>
    <w:uiPriority w:val="99"/>
    <w:semiHidden/>
    <w:qFormat/>
    <w:rsid w:val="009B1638"/>
    <w:rPr>
      <w:b/>
      <w:bCs/>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C6505-BB38-4984-B213-4970DB11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229</Words>
  <Characters>1309</Characters>
  <Application>Microsoft Office Word</Application>
  <DocSecurity>4</DocSecurity>
  <Lines>10</Lines>
  <Paragraphs>3</Paragraphs>
  <ScaleCrop>false</ScaleCrop>
  <Company>CNSTOCK</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刘源君</dc:creator>
  <cp:lastModifiedBy>ZHONGM</cp:lastModifiedBy>
  <cp:revision>2</cp:revision>
  <cp:lastPrinted>2024-12-17T06:09:00Z</cp:lastPrinted>
  <dcterms:created xsi:type="dcterms:W3CDTF">2025-06-16T16:02:00Z</dcterms:created>
  <dcterms:modified xsi:type="dcterms:W3CDTF">2025-06-16T16:02:00Z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3BC35FC3795A499B9CAC70066291AAF6_13</vt:lpwstr>
  </property>
</Properties>
</file>