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92E" w:rsidRDefault="00BF392E">
      <w:pPr>
        <w:pStyle w:val="a5"/>
        <w:spacing w:before="10"/>
        <w:rPr>
          <w:rFonts w:ascii="Times New Roman"/>
          <w:sz w:val="24"/>
        </w:rPr>
      </w:pPr>
    </w:p>
    <w:p w:rsidR="00BF392E" w:rsidRDefault="001D7E4D" w:rsidP="00411D62">
      <w:pPr>
        <w:pStyle w:val="a6"/>
        <w:spacing w:line="360" w:lineRule="auto"/>
        <w:jc w:val="center"/>
        <w:rPr>
          <w:b/>
          <w:sz w:val="28"/>
          <w:szCs w:val="28"/>
        </w:rPr>
      </w:pPr>
      <w:bookmarkStart w:id="0" w:name="_GoBack"/>
      <w:r>
        <w:rPr>
          <w:rFonts w:hint="eastAsia"/>
          <w:b/>
          <w:spacing w:val="-1"/>
          <w:sz w:val="28"/>
          <w:szCs w:val="28"/>
        </w:rPr>
        <w:t>大成</w:t>
      </w:r>
      <w:r>
        <w:rPr>
          <w:b/>
          <w:spacing w:val="-1"/>
          <w:sz w:val="28"/>
          <w:szCs w:val="28"/>
        </w:rPr>
        <w:t>基金管理有限公司关于旗下部分基金开通同一基金不同类别基金份额相互转换业务</w:t>
      </w:r>
      <w:r>
        <w:rPr>
          <w:rFonts w:hint="eastAsia"/>
          <w:b/>
          <w:spacing w:val="-1"/>
          <w:sz w:val="28"/>
          <w:szCs w:val="28"/>
        </w:rPr>
        <w:t>并修改基金合同</w:t>
      </w:r>
      <w:r>
        <w:rPr>
          <w:b/>
          <w:spacing w:val="-1"/>
          <w:sz w:val="28"/>
          <w:szCs w:val="28"/>
        </w:rPr>
        <w:t>的公告</w:t>
      </w:r>
    </w:p>
    <w:bookmarkEnd w:id="0"/>
    <w:p w:rsidR="00BF392E" w:rsidRDefault="00BF392E">
      <w:pPr>
        <w:pStyle w:val="a5"/>
        <w:spacing w:before="89" w:line="360" w:lineRule="auto"/>
        <w:rPr>
          <w:sz w:val="24"/>
        </w:rPr>
      </w:pPr>
    </w:p>
    <w:p w:rsidR="00BF392E" w:rsidRDefault="001D7E4D">
      <w:pPr>
        <w:pStyle w:val="a5"/>
        <w:spacing w:line="364" w:lineRule="auto"/>
        <w:ind w:left="360" w:right="360" w:firstLine="420"/>
        <w:jc w:val="both"/>
        <w:rPr>
          <w:spacing w:val="-2"/>
          <w:sz w:val="24"/>
          <w:szCs w:val="24"/>
        </w:rPr>
      </w:pPr>
      <w:r>
        <w:rPr>
          <w:spacing w:val="-2"/>
          <w:sz w:val="24"/>
          <w:szCs w:val="24"/>
        </w:rPr>
        <w:t>为满足广大投资者的理财需求，</w:t>
      </w:r>
      <w:r>
        <w:rPr>
          <w:rFonts w:hint="eastAsia"/>
          <w:spacing w:val="-2"/>
          <w:sz w:val="24"/>
          <w:szCs w:val="24"/>
        </w:rPr>
        <w:t>大成</w:t>
      </w:r>
      <w:r>
        <w:rPr>
          <w:spacing w:val="-2"/>
          <w:sz w:val="24"/>
          <w:szCs w:val="24"/>
        </w:rPr>
        <w:t>基金管理有限公司（以下简称“本公司”）</w:t>
      </w:r>
      <w:r>
        <w:rPr>
          <w:rFonts w:hAnsiTheme="minorHAnsi" w:hint="eastAsia"/>
          <w:sz w:val="24"/>
          <w:szCs w:val="24"/>
        </w:rPr>
        <w:t xml:space="preserve"> 经与基金托管人协商一致，</w:t>
      </w:r>
      <w:r>
        <w:rPr>
          <w:spacing w:val="-2"/>
          <w:sz w:val="24"/>
          <w:szCs w:val="24"/>
        </w:rPr>
        <w:t>决定自2025年6月17日起，对本公司旗下部分基金开通同一基金不同类别基金份额相互转换业务</w:t>
      </w:r>
      <w:r>
        <w:rPr>
          <w:rFonts w:hint="eastAsia"/>
          <w:spacing w:val="-2"/>
          <w:sz w:val="24"/>
          <w:szCs w:val="24"/>
        </w:rPr>
        <w:t>，</w:t>
      </w:r>
      <w:r>
        <w:rPr>
          <w:spacing w:val="-2"/>
          <w:sz w:val="24"/>
          <w:szCs w:val="24"/>
        </w:rPr>
        <w:t>并对基金合同进行相应修改。现将相关事项公告如下：</w:t>
      </w:r>
    </w:p>
    <w:p w:rsidR="00BF392E" w:rsidRDefault="001D7E4D">
      <w:pPr>
        <w:pStyle w:val="a5"/>
        <w:spacing w:before="157" w:line="364" w:lineRule="auto"/>
        <w:ind w:left="360" w:right="360" w:firstLine="420"/>
        <w:rPr>
          <w:spacing w:val="-2"/>
          <w:sz w:val="24"/>
          <w:szCs w:val="24"/>
        </w:rPr>
      </w:pPr>
      <w:r>
        <w:rPr>
          <w:spacing w:val="-2"/>
          <w:sz w:val="24"/>
          <w:szCs w:val="24"/>
        </w:rPr>
        <w:t>一、适用基金范围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4"/>
        <w:gridCol w:w="3969"/>
        <w:gridCol w:w="2922"/>
      </w:tblGrid>
      <w:tr w:rsidR="00BF392E">
        <w:trPr>
          <w:trHeight w:val="444"/>
          <w:jc w:val="center"/>
        </w:trPr>
        <w:tc>
          <w:tcPr>
            <w:tcW w:w="934" w:type="dxa"/>
            <w:shd w:val="clear" w:color="auto" w:fill="auto"/>
          </w:tcPr>
          <w:p w:rsidR="00BF392E" w:rsidRDefault="001D7E4D">
            <w:pPr>
              <w:pStyle w:val="TableParagraph"/>
              <w:spacing w:before="141"/>
              <w:rPr>
                <w:rFonts w:ascii="Segoe UI" w:hAnsi="Segoe UI" w:cs="Segoe UI"/>
                <w:sz w:val="21"/>
                <w:szCs w:val="21"/>
                <w:shd w:val="clear" w:color="auto" w:fill="FFFFFF"/>
              </w:rPr>
            </w:pPr>
            <w:r>
              <w:rPr>
                <w:rFonts w:ascii="Segoe UI" w:hAnsi="Segoe UI" w:cs="Segoe UI" w:hint="eastAsia"/>
                <w:sz w:val="21"/>
                <w:szCs w:val="21"/>
                <w:shd w:val="clear" w:color="auto" w:fill="FFFFFF"/>
              </w:rPr>
              <w:t>序号</w:t>
            </w:r>
          </w:p>
        </w:tc>
        <w:tc>
          <w:tcPr>
            <w:tcW w:w="3969" w:type="dxa"/>
            <w:shd w:val="clear" w:color="auto" w:fill="auto"/>
          </w:tcPr>
          <w:p w:rsidR="00BF392E" w:rsidRDefault="001D7E4D">
            <w:pPr>
              <w:pStyle w:val="TableParagraph"/>
              <w:spacing w:before="79"/>
              <w:ind w:left="7"/>
              <w:rPr>
                <w:rFonts w:ascii="Segoe UI" w:hAnsi="Segoe UI" w:cs="Segoe UI"/>
                <w:sz w:val="21"/>
                <w:szCs w:val="21"/>
                <w:shd w:val="clear" w:color="auto" w:fill="FFFFFF"/>
              </w:rPr>
            </w:pPr>
            <w:r>
              <w:rPr>
                <w:rFonts w:ascii="Segoe UI" w:hAnsi="Segoe UI" w:cs="Segoe UI"/>
                <w:sz w:val="21"/>
                <w:szCs w:val="21"/>
                <w:shd w:val="clear" w:color="auto" w:fill="FFFFFF"/>
              </w:rPr>
              <w:t>基金名称</w:t>
            </w:r>
          </w:p>
        </w:tc>
        <w:tc>
          <w:tcPr>
            <w:tcW w:w="2922" w:type="dxa"/>
            <w:shd w:val="clear" w:color="auto" w:fill="auto"/>
          </w:tcPr>
          <w:p w:rsidR="00BF392E" w:rsidRDefault="001D7E4D">
            <w:pPr>
              <w:pStyle w:val="TableParagraph"/>
              <w:spacing w:before="79"/>
              <w:ind w:right="4"/>
              <w:rPr>
                <w:rFonts w:ascii="Segoe UI" w:hAnsi="Segoe UI" w:cs="Segoe UI"/>
                <w:sz w:val="21"/>
                <w:szCs w:val="21"/>
                <w:shd w:val="clear" w:color="auto" w:fill="FFFFFF"/>
              </w:rPr>
            </w:pPr>
            <w:r>
              <w:rPr>
                <w:rFonts w:ascii="Segoe UI" w:hAnsi="Segoe UI" w:cs="Segoe UI"/>
                <w:sz w:val="21"/>
                <w:szCs w:val="21"/>
                <w:shd w:val="clear" w:color="auto" w:fill="FFFFFF"/>
              </w:rPr>
              <w:t>基金代码</w:t>
            </w:r>
          </w:p>
        </w:tc>
      </w:tr>
      <w:tr w:rsidR="00BF39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1"/>
          <w:jc w:val="center"/>
        </w:trPr>
        <w:tc>
          <w:tcPr>
            <w:tcW w:w="934" w:type="dxa"/>
            <w:vMerge w:val="restart"/>
            <w:tcBorders>
              <w:top w:val="single" w:sz="4" w:space="0" w:color="auto"/>
            </w:tcBorders>
            <w:shd w:val="clear" w:color="auto" w:fill="auto"/>
            <w:vAlign w:val="center"/>
          </w:tcPr>
          <w:p w:rsidR="00BF392E" w:rsidRDefault="001D7E4D">
            <w:pPr>
              <w:jc w:val="center"/>
              <w:rPr>
                <w:rFonts w:ascii="Calibri" w:hAnsi="Calibri"/>
                <w:szCs w:val="21"/>
              </w:rPr>
            </w:pPr>
            <w:r>
              <w:rPr>
                <w:rFonts w:ascii="Calibri" w:hAnsi="Calibri"/>
                <w:szCs w:val="21"/>
              </w:rPr>
              <w:t>1</w:t>
            </w:r>
          </w:p>
        </w:tc>
        <w:tc>
          <w:tcPr>
            <w:tcW w:w="3969" w:type="dxa"/>
            <w:vMerge w:val="restart"/>
            <w:tcBorders>
              <w:top w:val="single" w:sz="4" w:space="0" w:color="auto"/>
            </w:tcBorders>
            <w:shd w:val="clear" w:color="auto" w:fill="auto"/>
            <w:vAlign w:val="center"/>
          </w:tcPr>
          <w:p w:rsidR="00BF392E" w:rsidRDefault="001D7E4D">
            <w:pPr>
              <w:jc w:val="both"/>
              <w:rPr>
                <w:rFonts w:ascii="Calibri" w:hAnsi="Calibri"/>
                <w:sz w:val="24"/>
              </w:rPr>
            </w:pPr>
            <w:r>
              <w:rPr>
                <w:rFonts w:ascii="Segoe UI" w:hAnsi="Segoe UI" w:cs="Segoe UI"/>
                <w:szCs w:val="21"/>
                <w:shd w:val="clear" w:color="auto" w:fill="FFFFFF"/>
              </w:rPr>
              <w:t>大成聚优成长混合型证券投资基金</w:t>
            </w:r>
          </w:p>
        </w:tc>
        <w:tc>
          <w:tcPr>
            <w:tcW w:w="2922" w:type="dxa"/>
            <w:shd w:val="clear" w:color="auto" w:fill="auto"/>
          </w:tcPr>
          <w:p w:rsidR="00BF392E" w:rsidRDefault="001D7E4D">
            <w:pPr>
              <w:pStyle w:val="TableParagraph"/>
              <w:spacing w:before="1" w:line="251" w:lineRule="exact"/>
              <w:rPr>
                <w:spacing w:val="-2"/>
                <w:sz w:val="21"/>
                <w:szCs w:val="21"/>
              </w:rPr>
            </w:pPr>
            <w:r>
              <w:rPr>
                <w:spacing w:val="-2"/>
                <w:sz w:val="21"/>
                <w:szCs w:val="21"/>
              </w:rPr>
              <w:t>A 类份额：</w:t>
            </w:r>
            <w:r>
              <w:rPr>
                <w:rFonts w:cs="Segoe UI"/>
                <w:sz w:val="21"/>
                <w:szCs w:val="21"/>
                <w:shd w:val="clear" w:color="auto" w:fill="FFFFFF"/>
              </w:rPr>
              <w:t>014224</w:t>
            </w:r>
          </w:p>
        </w:tc>
      </w:tr>
      <w:tr w:rsidR="00BF39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1"/>
          <w:jc w:val="center"/>
        </w:trPr>
        <w:tc>
          <w:tcPr>
            <w:tcW w:w="934" w:type="dxa"/>
            <w:vMerge/>
            <w:tcBorders>
              <w:bottom w:val="single" w:sz="4" w:space="0" w:color="auto"/>
            </w:tcBorders>
            <w:shd w:val="clear" w:color="auto" w:fill="auto"/>
            <w:vAlign w:val="center"/>
          </w:tcPr>
          <w:p w:rsidR="00BF392E" w:rsidRDefault="00BF392E">
            <w:pPr>
              <w:jc w:val="center"/>
              <w:rPr>
                <w:rFonts w:ascii="Calibri" w:hAnsi="Calibri"/>
                <w:szCs w:val="21"/>
              </w:rPr>
            </w:pPr>
          </w:p>
        </w:tc>
        <w:tc>
          <w:tcPr>
            <w:tcW w:w="3969" w:type="dxa"/>
            <w:vMerge/>
            <w:tcBorders>
              <w:bottom w:val="single" w:sz="4" w:space="0" w:color="auto"/>
            </w:tcBorders>
            <w:shd w:val="clear" w:color="auto" w:fill="auto"/>
            <w:vAlign w:val="center"/>
          </w:tcPr>
          <w:p w:rsidR="00BF392E" w:rsidRDefault="00BF392E">
            <w:pPr>
              <w:jc w:val="both"/>
              <w:rPr>
                <w:rFonts w:ascii="Calibri" w:hAnsi="Calibri"/>
                <w:sz w:val="24"/>
              </w:rPr>
            </w:pPr>
          </w:p>
        </w:tc>
        <w:tc>
          <w:tcPr>
            <w:tcW w:w="2922" w:type="dxa"/>
            <w:shd w:val="clear" w:color="auto" w:fill="auto"/>
          </w:tcPr>
          <w:p w:rsidR="00BF392E" w:rsidRDefault="001D7E4D">
            <w:pPr>
              <w:pStyle w:val="TableParagraph"/>
              <w:spacing w:line="252" w:lineRule="exact"/>
              <w:rPr>
                <w:spacing w:val="-2"/>
                <w:sz w:val="21"/>
                <w:szCs w:val="21"/>
              </w:rPr>
            </w:pPr>
            <w:r>
              <w:rPr>
                <w:spacing w:val="-2"/>
                <w:sz w:val="21"/>
                <w:szCs w:val="21"/>
              </w:rPr>
              <w:t>C 类份额：</w:t>
            </w:r>
            <w:r>
              <w:rPr>
                <w:rFonts w:cs="Segoe UI"/>
                <w:sz w:val="21"/>
                <w:szCs w:val="21"/>
                <w:shd w:val="clear" w:color="auto" w:fill="FFFFFF"/>
              </w:rPr>
              <w:t>014225</w:t>
            </w:r>
          </w:p>
        </w:tc>
      </w:tr>
      <w:tr w:rsidR="00BF39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1"/>
          <w:jc w:val="center"/>
        </w:trPr>
        <w:tc>
          <w:tcPr>
            <w:tcW w:w="934" w:type="dxa"/>
            <w:vMerge w:val="restart"/>
            <w:shd w:val="clear" w:color="auto" w:fill="auto"/>
            <w:vAlign w:val="center"/>
          </w:tcPr>
          <w:p w:rsidR="00BF392E" w:rsidRDefault="001D7E4D">
            <w:pPr>
              <w:jc w:val="center"/>
              <w:rPr>
                <w:rFonts w:ascii="Calibri" w:hAnsi="Calibri"/>
                <w:szCs w:val="21"/>
              </w:rPr>
            </w:pPr>
            <w:r>
              <w:rPr>
                <w:rFonts w:ascii="Calibri" w:hAnsi="Calibri" w:hint="eastAsia"/>
                <w:szCs w:val="21"/>
              </w:rPr>
              <w:t>2</w:t>
            </w:r>
          </w:p>
        </w:tc>
        <w:tc>
          <w:tcPr>
            <w:tcW w:w="3969" w:type="dxa"/>
            <w:vMerge w:val="restart"/>
            <w:shd w:val="clear" w:color="auto" w:fill="auto"/>
            <w:vAlign w:val="center"/>
          </w:tcPr>
          <w:p w:rsidR="00BF392E" w:rsidRDefault="001D7E4D">
            <w:pPr>
              <w:jc w:val="both"/>
              <w:rPr>
                <w:rFonts w:ascii="Calibri" w:hAnsi="Calibri"/>
                <w:sz w:val="24"/>
              </w:rPr>
            </w:pPr>
            <w:r>
              <w:rPr>
                <w:rFonts w:ascii="Segoe UI" w:hAnsi="Segoe UI" w:cs="Segoe UI"/>
                <w:szCs w:val="21"/>
                <w:shd w:val="clear" w:color="auto" w:fill="FFFFFF"/>
              </w:rPr>
              <w:t>大成企业能力驱动混合型证券投资基金</w:t>
            </w:r>
          </w:p>
        </w:tc>
        <w:tc>
          <w:tcPr>
            <w:tcW w:w="2922" w:type="dxa"/>
            <w:shd w:val="clear" w:color="auto" w:fill="auto"/>
          </w:tcPr>
          <w:p w:rsidR="00BF392E" w:rsidRDefault="001D7E4D">
            <w:pPr>
              <w:pStyle w:val="TableParagraph"/>
              <w:spacing w:line="252" w:lineRule="exact"/>
              <w:rPr>
                <w:spacing w:val="-2"/>
                <w:sz w:val="21"/>
                <w:szCs w:val="21"/>
              </w:rPr>
            </w:pPr>
            <w:r>
              <w:rPr>
                <w:spacing w:val="-2"/>
                <w:sz w:val="21"/>
                <w:szCs w:val="21"/>
              </w:rPr>
              <w:t>A 类份额：</w:t>
            </w:r>
            <w:r>
              <w:rPr>
                <w:rFonts w:cs="Segoe UI"/>
                <w:sz w:val="21"/>
                <w:szCs w:val="21"/>
                <w:shd w:val="clear" w:color="auto" w:fill="FFFFFF"/>
              </w:rPr>
              <w:t>010178</w:t>
            </w:r>
          </w:p>
        </w:tc>
      </w:tr>
      <w:tr w:rsidR="00BF39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1"/>
          <w:jc w:val="center"/>
        </w:trPr>
        <w:tc>
          <w:tcPr>
            <w:tcW w:w="934" w:type="dxa"/>
            <w:vMerge/>
            <w:tcBorders>
              <w:bottom w:val="single" w:sz="4" w:space="0" w:color="auto"/>
            </w:tcBorders>
            <w:shd w:val="clear" w:color="auto" w:fill="auto"/>
            <w:vAlign w:val="center"/>
          </w:tcPr>
          <w:p w:rsidR="00BF392E" w:rsidRDefault="00BF392E">
            <w:pPr>
              <w:jc w:val="center"/>
              <w:rPr>
                <w:rFonts w:ascii="Calibri" w:hAnsi="Calibri"/>
                <w:szCs w:val="21"/>
              </w:rPr>
            </w:pPr>
          </w:p>
        </w:tc>
        <w:tc>
          <w:tcPr>
            <w:tcW w:w="3969" w:type="dxa"/>
            <w:vMerge/>
            <w:tcBorders>
              <w:bottom w:val="single" w:sz="4" w:space="0" w:color="auto"/>
            </w:tcBorders>
            <w:shd w:val="clear" w:color="auto" w:fill="auto"/>
            <w:vAlign w:val="center"/>
          </w:tcPr>
          <w:p w:rsidR="00BF392E" w:rsidRDefault="00BF392E">
            <w:pPr>
              <w:jc w:val="both"/>
              <w:rPr>
                <w:rFonts w:ascii="Calibri" w:hAnsi="Calibri"/>
                <w:sz w:val="24"/>
              </w:rPr>
            </w:pPr>
          </w:p>
        </w:tc>
        <w:tc>
          <w:tcPr>
            <w:tcW w:w="2922" w:type="dxa"/>
            <w:shd w:val="clear" w:color="auto" w:fill="auto"/>
          </w:tcPr>
          <w:p w:rsidR="00BF392E" w:rsidRDefault="001D7E4D">
            <w:pPr>
              <w:pStyle w:val="TableParagraph"/>
              <w:spacing w:line="252" w:lineRule="exact"/>
              <w:rPr>
                <w:spacing w:val="-2"/>
                <w:sz w:val="21"/>
                <w:szCs w:val="21"/>
              </w:rPr>
            </w:pPr>
            <w:r>
              <w:rPr>
                <w:spacing w:val="-2"/>
                <w:sz w:val="21"/>
                <w:szCs w:val="21"/>
              </w:rPr>
              <w:t>C 类份额：</w:t>
            </w:r>
            <w:r>
              <w:rPr>
                <w:rFonts w:cs="Segoe UI"/>
                <w:sz w:val="21"/>
                <w:szCs w:val="21"/>
                <w:shd w:val="clear" w:color="auto" w:fill="FFFFFF"/>
              </w:rPr>
              <w:t>010179</w:t>
            </w:r>
          </w:p>
        </w:tc>
      </w:tr>
      <w:tr w:rsidR="00BF39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1"/>
          <w:jc w:val="center"/>
        </w:trPr>
        <w:tc>
          <w:tcPr>
            <w:tcW w:w="934" w:type="dxa"/>
            <w:vMerge w:val="restart"/>
            <w:tcBorders>
              <w:top w:val="single" w:sz="4" w:space="0" w:color="auto"/>
            </w:tcBorders>
            <w:shd w:val="clear" w:color="auto" w:fill="auto"/>
            <w:vAlign w:val="center"/>
          </w:tcPr>
          <w:p w:rsidR="00BF392E" w:rsidRDefault="001D7E4D">
            <w:pPr>
              <w:jc w:val="center"/>
              <w:rPr>
                <w:rFonts w:ascii="Calibri" w:hAnsi="Calibri"/>
                <w:szCs w:val="21"/>
              </w:rPr>
            </w:pPr>
            <w:r>
              <w:rPr>
                <w:rFonts w:ascii="Calibri" w:hAnsi="Calibri"/>
                <w:szCs w:val="21"/>
              </w:rPr>
              <w:t>3</w:t>
            </w:r>
          </w:p>
        </w:tc>
        <w:tc>
          <w:tcPr>
            <w:tcW w:w="3969" w:type="dxa"/>
            <w:vMerge w:val="restart"/>
            <w:tcBorders>
              <w:top w:val="single" w:sz="4" w:space="0" w:color="auto"/>
            </w:tcBorders>
            <w:shd w:val="clear" w:color="auto" w:fill="auto"/>
            <w:vAlign w:val="center"/>
          </w:tcPr>
          <w:p w:rsidR="00BF392E" w:rsidRDefault="001D7E4D">
            <w:pPr>
              <w:jc w:val="both"/>
              <w:rPr>
                <w:rFonts w:ascii="Calibri" w:hAnsi="Calibri"/>
                <w:sz w:val="24"/>
              </w:rPr>
            </w:pPr>
            <w:r>
              <w:rPr>
                <w:rFonts w:ascii="Segoe UI" w:hAnsi="Segoe UI" w:cs="Segoe UI"/>
                <w:szCs w:val="21"/>
                <w:shd w:val="clear" w:color="auto" w:fill="FFFFFF"/>
              </w:rPr>
              <w:t>大成成长进取混合型证券投资基金</w:t>
            </w:r>
          </w:p>
        </w:tc>
        <w:tc>
          <w:tcPr>
            <w:tcW w:w="2922" w:type="dxa"/>
            <w:shd w:val="clear" w:color="auto" w:fill="auto"/>
          </w:tcPr>
          <w:p w:rsidR="00BF392E" w:rsidRDefault="001D7E4D">
            <w:pPr>
              <w:pStyle w:val="TableParagraph"/>
              <w:spacing w:line="252" w:lineRule="exact"/>
              <w:rPr>
                <w:spacing w:val="-2"/>
                <w:sz w:val="21"/>
                <w:szCs w:val="21"/>
              </w:rPr>
            </w:pPr>
            <w:r>
              <w:rPr>
                <w:spacing w:val="-2"/>
                <w:sz w:val="21"/>
                <w:szCs w:val="21"/>
              </w:rPr>
              <w:t>A 类份额：</w:t>
            </w:r>
            <w:r>
              <w:rPr>
                <w:rFonts w:cs="Segoe UI"/>
                <w:sz w:val="21"/>
                <w:szCs w:val="21"/>
                <w:shd w:val="clear" w:color="auto" w:fill="FFFFFF"/>
              </w:rPr>
              <w:t>010371</w:t>
            </w:r>
          </w:p>
        </w:tc>
      </w:tr>
      <w:tr w:rsidR="00BF39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1"/>
          <w:jc w:val="center"/>
        </w:trPr>
        <w:tc>
          <w:tcPr>
            <w:tcW w:w="934" w:type="dxa"/>
            <w:vMerge/>
            <w:tcBorders>
              <w:bottom w:val="single" w:sz="4" w:space="0" w:color="auto"/>
            </w:tcBorders>
            <w:shd w:val="clear" w:color="auto" w:fill="auto"/>
            <w:vAlign w:val="center"/>
          </w:tcPr>
          <w:p w:rsidR="00BF392E" w:rsidRDefault="00BF392E">
            <w:pPr>
              <w:jc w:val="center"/>
              <w:rPr>
                <w:rFonts w:ascii="Calibri" w:hAnsi="Calibri"/>
                <w:szCs w:val="21"/>
              </w:rPr>
            </w:pPr>
          </w:p>
        </w:tc>
        <w:tc>
          <w:tcPr>
            <w:tcW w:w="3969" w:type="dxa"/>
            <w:vMerge/>
            <w:tcBorders>
              <w:bottom w:val="single" w:sz="4" w:space="0" w:color="auto"/>
            </w:tcBorders>
            <w:shd w:val="clear" w:color="auto" w:fill="auto"/>
            <w:vAlign w:val="center"/>
          </w:tcPr>
          <w:p w:rsidR="00BF392E" w:rsidRDefault="00BF392E">
            <w:pPr>
              <w:jc w:val="both"/>
              <w:rPr>
                <w:rFonts w:ascii="Segoe UI" w:hAnsi="Segoe UI" w:cs="Segoe UI"/>
                <w:szCs w:val="21"/>
                <w:shd w:val="clear" w:color="auto" w:fill="FFFFFF"/>
              </w:rPr>
            </w:pPr>
          </w:p>
        </w:tc>
        <w:tc>
          <w:tcPr>
            <w:tcW w:w="2922" w:type="dxa"/>
            <w:shd w:val="clear" w:color="auto" w:fill="auto"/>
          </w:tcPr>
          <w:p w:rsidR="00BF392E" w:rsidRDefault="001D7E4D">
            <w:pPr>
              <w:pStyle w:val="TableParagraph"/>
              <w:spacing w:line="252" w:lineRule="exact"/>
              <w:rPr>
                <w:spacing w:val="-2"/>
                <w:sz w:val="21"/>
                <w:szCs w:val="21"/>
              </w:rPr>
            </w:pPr>
            <w:r>
              <w:rPr>
                <w:spacing w:val="-2"/>
                <w:sz w:val="21"/>
                <w:szCs w:val="21"/>
              </w:rPr>
              <w:t>C 类份额：</w:t>
            </w:r>
            <w:r>
              <w:rPr>
                <w:rFonts w:cs="Segoe UI"/>
                <w:sz w:val="21"/>
                <w:szCs w:val="21"/>
                <w:shd w:val="clear" w:color="auto" w:fill="FFFFFF"/>
              </w:rPr>
              <w:t>010372</w:t>
            </w:r>
          </w:p>
        </w:tc>
      </w:tr>
      <w:tr w:rsidR="00BF39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1"/>
          <w:jc w:val="center"/>
        </w:trPr>
        <w:tc>
          <w:tcPr>
            <w:tcW w:w="934" w:type="dxa"/>
            <w:vMerge w:val="restart"/>
            <w:shd w:val="clear" w:color="auto" w:fill="auto"/>
            <w:vAlign w:val="center"/>
          </w:tcPr>
          <w:p w:rsidR="00BF392E" w:rsidRDefault="001D7E4D">
            <w:pPr>
              <w:jc w:val="center"/>
              <w:rPr>
                <w:rFonts w:ascii="Calibri" w:hAnsi="Calibri"/>
                <w:szCs w:val="21"/>
              </w:rPr>
            </w:pPr>
            <w:r>
              <w:rPr>
                <w:rFonts w:ascii="Calibri" w:hAnsi="Calibri" w:hint="eastAsia"/>
                <w:szCs w:val="21"/>
              </w:rPr>
              <w:t>4</w:t>
            </w:r>
          </w:p>
        </w:tc>
        <w:tc>
          <w:tcPr>
            <w:tcW w:w="3969" w:type="dxa"/>
            <w:vMerge w:val="restart"/>
            <w:shd w:val="clear" w:color="auto" w:fill="auto"/>
            <w:vAlign w:val="center"/>
          </w:tcPr>
          <w:p w:rsidR="00BF392E" w:rsidRDefault="001D7E4D">
            <w:pPr>
              <w:jc w:val="both"/>
              <w:rPr>
                <w:rFonts w:ascii="Segoe UI" w:hAnsi="Segoe UI" w:cs="Segoe UI"/>
                <w:szCs w:val="21"/>
                <w:shd w:val="clear" w:color="auto" w:fill="FFFFFF"/>
              </w:rPr>
            </w:pPr>
            <w:r>
              <w:rPr>
                <w:rFonts w:ascii="Segoe UI" w:hAnsi="Segoe UI" w:cs="Segoe UI"/>
                <w:szCs w:val="21"/>
                <w:shd w:val="clear" w:color="auto" w:fill="FFFFFF"/>
              </w:rPr>
              <w:t>大成睿享混合型证券投资基金</w:t>
            </w:r>
          </w:p>
        </w:tc>
        <w:tc>
          <w:tcPr>
            <w:tcW w:w="2922" w:type="dxa"/>
            <w:shd w:val="clear" w:color="auto" w:fill="auto"/>
          </w:tcPr>
          <w:p w:rsidR="00BF392E" w:rsidRDefault="001D7E4D">
            <w:pPr>
              <w:pStyle w:val="TableParagraph"/>
              <w:spacing w:line="252" w:lineRule="exact"/>
              <w:rPr>
                <w:spacing w:val="-2"/>
                <w:sz w:val="21"/>
                <w:szCs w:val="21"/>
              </w:rPr>
            </w:pPr>
            <w:r>
              <w:rPr>
                <w:spacing w:val="-2"/>
                <w:sz w:val="21"/>
                <w:szCs w:val="21"/>
              </w:rPr>
              <w:t>A 类份额：</w:t>
            </w:r>
            <w:r>
              <w:rPr>
                <w:rFonts w:cs="Segoe UI"/>
                <w:sz w:val="21"/>
                <w:szCs w:val="21"/>
                <w:shd w:val="clear" w:color="auto" w:fill="FFFFFF"/>
              </w:rPr>
              <w:t>008269</w:t>
            </w:r>
          </w:p>
        </w:tc>
      </w:tr>
      <w:tr w:rsidR="00BF39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1"/>
          <w:jc w:val="center"/>
        </w:trPr>
        <w:tc>
          <w:tcPr>
            <w:tcW w:w="934" w:type="dxa"/>
            <w:vMerge/>
            <w:tcBorders>
              <w:bottom w:val="single" w:sz="4" w:space="0" w:color="auto"/>
            </w:tcBorders>
            <w:shd w:val="clear" w:color="auto" w:fill="auto"/>
            <w:vAlign w:val="center"/>
          </w:tcPr>
          <w:p w:rsidR="00BF392E" w:rsidRDefault="00BF392E">
            <w:pPr>
              <w:jc w:val="center"/>
              <w:rPr>
                <w:rFonts w:ascii="Calibri" w:hAnsi="Calibri"/>
                <w:szCs w:val="21"/>
              </w:rPr>
            </w:pPr>
          </w:p>
        </w:tc>
        <w:tc>
          <w:tcPr>
            <w:tcW w:w="3969" w:type="dxa"/>
            <w:vMerge/>
            <w:tcBorders>
              <w:bottom w:val="single" w:sz="4" w:space="0" w:color="auto"/>
            </w:tcBorders>
            <w:shd w:val="clear" w:color="auto" w:fill="auto"/>
            <w:vAlign w:val="center"/>
          </w:tcPr>
          <w:p w:rsidR="00BF392E" w:rsidRDefault="00BF392E">
            <w:pPr>
              <w:jc w:val="both"/>
              <w:rPr>
                <w:rFonts w:ascii="Segoe UI" w:hAnsi="Segoe UI" w:cs="Segoe UI"/>
                <w:szCs w:val="21"/>
                <w:shd w:val="clear" w:color="auto" w:fill="FFFFFF"/>
              </w:rPr>
            </w:pPr>
          </w:p>
        </w:tc>
        <w:tc>
          <w:tcPr>
            <w:tcW w:w="2922" w:type="dxa"/>
            <w:shd w:val="clear" w:color="auto" w:fill="auto"/>
          </w:tcPr>
          <w:p w:rsidR="00BF392E" w:rsidRDefault="001D7E4D">
            <w:pPr>
              <w:pStyle w:val="TableParagraph"/>
              <w:spacing w:line="252" w:lineRule="exact"/>
              <w:rPr>
                <w:spacing w:val="-2"/>
                <w:sz w:val="21"/>
                <w:szCs w:val="21"/>
              </w:rPr>
            </w:pPr>
            <w:r>
              <w:rPr>
                <w:spacing w:val="-2"/>
                <w:sz w:val="21"/>
                <w:szCs w:val="21"/>
              </w:rPr>
              <w:t>C 类份额：</w:t>
            </w:r>
            <w:r>
              <w:rPr>
                <w:rFonts w:cs="Segoe UI"/>
                <w:sz w:val="21"/>
                <w:szCs w:val="21"/>
                <w:shd w:val="clear" w:color="auto" w:fill="FFFFFF"/>
              </w:rPr>
              <w:t>008270</w:t>
            </w:r>
          </w:p>
        </w:tc>
      </w:tr>
      <w:tr w:rsidR="00BF39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1"/>
          <w:jc w:val="center"/>
        </w:trPr>
        <w:tc>
          <w:tcPr>
            <w:tcW w:w="934" w:type="dxa"/>
            <w:vMerge w:val="restart"/>
            <w:tcBorders>
              <w:top w:val="single" w:sz="4" w:space="0" w:color="auto"/>
            </w:tcBorders>
            <w:shd w:val="clear" w:color="auto" w:fill="auto"/>
            <w:vAlign w:val="center"/>
          </w:tcPr>
          <w:p w:rsidR="00BF392E" w:rsidRDefault="001D7E4D">
            <w:pPr>
              <w:jc w:val="center"/>
              <w:rPr>
                <w:rFonts w:ascii="Calibri" w:hAnsi="Calibri"/>
                <w:szCs w:val="21"/>
              </w:rPr>
            </w:pPr>
            <w:r>
              <w:rPr>
                <w:rFonts w:ascii="Calibri" w:hAnsi="Calibri"/>
                <w:szCs w:val="21"/>
              </w:rPr>
              <w:t>5</w:t>
            </w:r>
          </w:p>
        </w:tc>
        <w:tc>
          <w:tcPr>
            <w:tcW w:w="3969" w:type="dxa"/>
            <w:vMerge w:val="restart"/>
            <w:tcBorders>
              <w:top w:val="single" w:sz="4" w:space="0" w:color="auto"/>
            </w:tcBorders>
            <w:shd w:val="clear" w:color="auto" w:fill="auto"/>
            <w:vAlign w:val="center"/>
          </w:tcPr>
          <w:p w:rsidR="00BF392E" w:rsidRDefault="001D7E4D">
            <w:pPr>
              <w:jc w:val="both"/>
              <w:rPr>
                <w:rFonts w:ascii="Segoe UI" w:hAnsi="Segoe UI" w:cs="Segoe UI"/>
                <w:szCs w:val="21"/>
                <w:shd w:val="clear" w:color="auto" w:fill="FFFFFF"/>
              </w:rPr>
            </w:pPr>
            <w:r>
              <w:rPr>
                <w:rFonts w:ascii="Segoe UI" w:hAnsi="Segoe UI" w:cs="Segoe UI"/>
                <w:szCs w:val="21"/>
                <w:shd w:val="clear" w:color="auto" w:fill="FFFFFF"/>
              </w:rPr>
              <w:t>大成消费主题混合型证券投资基金</w:t>
            </w:r>
          </w:p>
        </w:tc>
        <w:tc>
          <w:tcPr>
            <w:tcW w:w="2922" w:type="dxa"/>
            <w:shd w:val="clear" w:color="auto" w:fill="auto"/>
          </w:tcPr>
          <w:p w:rsidR="00BF392E" w:rsidRDefault="001D7E4D">
            <w:pPr>
              <w:pStyle w:val="TableParagraph"/>
              <w:spacing w:line="252" w:lineRule="exact"/>
              <w:rPr>
                <w:spacing w:val="-2"/>
                <w:sz w:val="21"/>
                <w:szCs w:val="21"/>
              </w:rPr>
            </w:pPr>
            <w:r>
              <w:rPr>
                <w:spacing w:val="-2"/>
                <w:sz w:val="21"/>
                <w:szCs w:val="21"/>
              </w:rPr>
              <w:t>A 类份额：</w:t>
            </w:r>
            <w:r>
              <w:rPr>
                <w:rFonts w:cs="Segoe UI"/>
                <w:sz w:val="21"/>
                <w:szCs w:val="21"/>
                <w:shd w:val="clear" w:color="auto" w:fill="FFFFFF"/>
              </w:rPr>
              <w:t>090016</w:t>
            </w:r>
          </w:p>
        </w:tc>
      </w:tr>
      <w:tr w:rsidR="00BF39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1"/>
          <w:jc w:val="center"/>
        </w:trPr>
        <w:tc>
          <w:tcPr>
            <w:tcW w:w="934" w:type="dxa"/>
            <w:vMerge/>
            <w:tcBorders>
              <w:bottom w:val="single" w:sz="4" w:space="0" w:color="auto"/>
            </w:tcBorders>
            <w:shd w:val="clear" w:color="auto" w:fill="auto"/>
            <w:vAlign w:val="center"/>
          </w:tcPr>
          <w:p w:rsidR="00BF392E" w:rsidRDefault="00BF392E">
            <w:pPr>
              <w:jc w:val="center"/>
              <w:rPr>
                <w:rFonts w:ascii="Calibri" w:hAnsi="Calibri"/>
                <w:szCs w:val="21"/>
              </w:rPr>
            </w:pPr>
          </w:p>
        </w:tc>
        <w:tc>
          <w:tcPr>
            <w:tcW w:w="3969" w:type="dxa"/>
            <w:vMerge/>
            <w:tcBorders>
              <w:bottom w:val="nil"/>
            </w:tcBorders>
            <w:shd w:val="clear" w:color="auto" w:fill="auto"/>
            <w:vAlign w:val="center"/>
          </w:tcPr>
          <w:p w:rsidR="00BF392E" w:rsidRDefault="00BF392E">
            <w:pPr>
              <w:jc w:val="both"/>
              <w:rPr>
                <w:rFonts w:ascii="Segoe UI" w:hAnsi="Segoe UI" w:cs="Segoe UI"/>
                <w:szCs w:val="21"/>
                <w:shd w:val="clear" w:color="auto" w:fill="FFFFFF"/>
              </w:rPr>
            </w:pPr>
          </w:p>
        </w:tc>
        <w:tc>
          <w:tcPr>
            <w:tcW w:w="2922" w:type="dxa"/>
            <w:shd w:val="clear" w:color="auto" w:fill="auto"/>
          </w:tcPr>
          <w:p w:rsidR="00BF392E" w:rsidRDefault="001D7E4D">
            <w:pPr>
              <w:pStyle w:val="TableParagraph"/>
              <w:spacing w:line="252" w:lineRule="exact"/>
              <w:rPr>
                <w:rFonts w:cs="Segoe UI"/>
                <w:sz w:val="21"/>
                <w:szCs w:val="21"/>
                <w:shd w:val="clear" w:color="auto" w:fill="FFFFFF"/>
              </w:rPr>
            </w:pPr>
            <w:r>
              <w:rPr>
                <w:spacing w:val="-2"/>
                <w:sz w:val="21"/>
                <w:szCs w:val="21"/>
              </w:rPr>
              <w:t>C 类份额：</w:t>
            </w:r>
            <w:r>
              <w:rPr>
                <w:rFonts w:cs="Segoe UI"/>
                <w:sz w:val="21"/>
                <w:szCs w:val="21"/>
                <w:shd w:val="clear" w:color="auto" w:fill="FFFFFF"/>
              </w:rPr>
              <w:t>017773</w:t>
            </w:r>
          </w:p>
        </w:tc>
      </w:tr>
      <w:tr w:rsidR="00BF39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1"/>
          <w:jc w:val="center"/>
        </w:trPr>
        <w:tc>
          <w:tcPr>
            <w:tcW w:w="934" w:type="dxa"/>
            <w:vMerge w:val="restart"/>
            <w:tcBorders>
              <w:top w:val="single" w:sz="4" w:space="0" w:color="auto"/>
            </w:tcBorders>
            <w:shd w:val="clear" w:color="auto" w:fill="auto"/>
            <w:vAlign w:val="center"/>
          </w:tcPr>
          <w:p w:rsidR="00BF392E" w:rsidRDefault="001D7E4D">
            <w:pPr>
              <w:jc w:val="center"/>
              <w:rPr>
                <w:rFonts w:ascii="Calibri" w:hAnsi="Calibri"/>
                <w:szCs w:val="21"/>
              </w:rPr>
            </w:pPr>
            <w:r>
              <w:rPr>
                <w:rFonts w:ascii="Calibri" w:hAnsi="Calibri"/>
                <w:szCs w:val="21"/>
              </w:rPr>
              <w:t>6</w:t>
            </w:r>
          </w:p>
        </w:tc>
        <w:tc>
          <w:tcPr>
            <w:tcW w:w="3969" w:type="dxa"/>
            <w:vMerge w:val="restart"/>
            <w:tcBorders>
              <w:top w:val="single" w:sz="4" w:space="0" w:color="auto"/>
            </w:tcBorders>
            <w:shd w:val="clear" w:color="auto" w:fill="auto"/>
            <w:vAlign w:val="center"/>
          </w:tcPr>
          <w:p w:rsidR="00BF392E" w:rsidRDefault="001D7E4D">
            <w:pPr>
              <w:jc w:val="both"/>
              <w:rPr>
                <w:rFonts w:ascii="Segoe UI" w:hAnsi="Segoe UI" w:cs="Segoe UI"/>
                <w:szCs w:val="21"/>
                <w:shd w:val="clear" w:color="auto" w:fill="FFFFFF"/>
              </w:rPr>
            </w:pPr>
            <w:r>
              <w:rPr>
                <w:rFonts w:ascii="Segoe UI" w:hAnsi="Segoe UI" w:cs="Segoe UI"/>
                <w:szCs w:val="21"/>
                <w:shd w:val="clear" w:color="auto" w:fill="FFFFFF"/>
              </w:rPr>
              <w:t>大成新锐产业混合型证券投资基金</w:t>
            </w:r>
          </w:p>
        </w:tc>
        <w:tc>
          <w:tcPr>
            <w:tcW w:w="2922" w:type="dxa"/>
            <w:shd w:val="clear" w:color="auto" w:fill="auto"/>
          </w:tcPr>
          <w:p w:rsidR="00BF392E" w:rsidRDefault="001D7E4D">
            <w:pPr>
              <w:pStyle w:val="TableParagraph"/>
              <w:spacing w:line="252" w:lineRule="exact"/>
              <w:rPr>
                <w:spacing w:val="-2"/>
                <w:sz w:val="21"/>
                <w:szCs w:val="21"/>
              </w:rPr>
            </w:pPr>
            <w:r>
              <w:rPr>
                <w:spacing w:val="-2"/>
                <w:sz w:val="21"/>
                <w:szCs w:val="21"/>
              </w:rPr>
              <w:t>A 类份额：</w:t>
            </w:r>
            <w:r>
              <w:rPr>
                <w:rFonts w:cs="Segoe UI"/>
                <w:sz w:val="21"/>
                <w:szCs w:val="21"/>
                <w:shd w:val="clear" w:color="auto" w:fill="FFFFFF"/>
              </w:rPr>
              <w:t>090018</w:t>
            </w:r>
          </w:p>
        </w:tc>
      </w:tr>
      <w:tr w:rsidR="00BF39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1"/>
          <w:jc w:val="center"/>
        </w:trPr>
        <w:tc>
          <w:tcPr>
            <w:tcW w:w="934" w:type="dxa"/>
            <w:vMerge/>
            <w:shd w:val="clear" w:color="auto" w:fill="auto"/>
            <w:vAlign w:val="center"/>
          </w:tcPr>
          <w:p w:rsidR="00BF392E" w:rsidRDefault="00BF392E">
            <w:pPr>
              <w:jc w:val="center"/>
              <w:rPr>
                <w:rFonts w:ascii="Calibri" w:hAnsi="Calibri"/>
                <w:szCs w:val="21"/>
              </w:rPr>
            </w:pPr>
          </w:p>
        </w:tc>
        <w:tc>
          <w:tcPr>
            <w:tcW w:w="3969" w:type="dxa"/>
            <w:vMerge/>
            <w:shd w:val="clear" w:color="auto" w:fill="auto"/>
            <w:vAlign w:val="center"/>
          </w:tcPr>
          <w:p w:rsidR="00BF392E" w:rsidRDefault="00BF392E">
            <w:pPr>
              <w:jc w:val="both"/>
              <w:rPr>
                <w:rFonts w:ascii="Segoe UI" w:hAnsi="Segoe UI" w:cs="Segoe UI"/>
                <w:szCs w:val="21"/>
                <w:shd w:val="clear" w:color="auto" w:fill="FFFFFF"/>
              </w:rPr>
            </w:pPr>
          </w:p>
        </w:tc>
        <w:tc>
          <w:tcPr>
            <w:tcW w:w="2922" w:type="dxa"/>
            <w:shd w:val="clear" w:color="auto" w:fill="auto"/>
          </w:tcPr>
          <w:p w:rsidR="00BF392E" w:rsidRDefault="001D7E4D">
            <w:pPr>
              <w:pStyle w:val="TableParagraph"/>
              <w:spacing w:line="252" w:lineRule="exact"/>
              <w:rPr>
                <w:spacing w:val="-2"/>
                <w:sz w:val="21"/>
                <w:szCs w:val="21"/>
              </w:rPr>
            </w:pPr>
            <w:r>
              <w:rPr>
                <w:spacing w:val="-2"/>
                <w:sz w:val="21"/>
                <w:szCs w:val="21"/>
              </w:rPr>
              <w:t>C 类份额：</w:t>
            </w:r>
            <w:r>
              <w:rPr>
                <w:rFonts w:cs="Segoe UI"/>
                <w:sz w:val="21"/>
                <w:szCs w:val="21"/>
                <w:shd w:val="clear" w:color="auto" w:fill="FFFFFF"/>
              </w:rPr>
              <w:t>018460</w:t>
            </w:r>
          </w:p>
        </w:tc>
      </w:tr>
      <w:tr w:rsidR="00BF39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1"/>
          <w:jc w:val="center"/>
        </w:trPr>
        <w:tc>
          <w:tcPr>
            <w:tcW w:w="934" w:type="dxa"/>
            <w:vMerge w:val="restart"/>
            <w:shd w:val="clear" w:color="auto" w:fill="auto"/>
            <w:vAlign w:val="center"/>
          </w:tcPr>
          <w:p w:rsidR="00BF392E" w:rsidRDefault="001D7E4D">
            <w:pPr>
              <w:jc w:val="center"/>
              <w:rPr>
                <w:rFonts w:ascii="Calibri" w:hAnsi="Calibri"/>
                <w:szCs w:val="21"/>
              </w:rPr>
            </w:pPr>
            <w:r>
              <w:rPr>
                <w:rFonts w:ascii="Calibri" w:hAnsi="Calibri" w:hint="eastAsia"/>
                <w:szCs w:val="21"/>
              </w:rPr>
              <w:t>7</w:t>
            </w:r>
          </w:p>
        </w:tc>
        <w:tc>
          <w:tcPr>
            <w:tcW w:w="3969" w:type="dxa"/>
            <w:vMerge w:val="restart"/>
            <w:shd w:val="clear" w:color="auto" w:fill="auto"/>
            <w:vAlign w:val="center"/>
          </w:tcPr>
          <w:p w:rsidR="00BF392E" w:rsidRDefault="001D7E4D">
            <w:pPr>
              <w:pStyle w:val="TableParagraph"/>
              <w:spacing w:before="139"/>
              <w:jc w:val="both"/>
              <w:rPr>
                <w:sz w:val="24"/>
                <w:szCs w:val="24"/>
              </w:rPr>
            </w:pPr>
            <w:r>
              <w:rPr>
                <w:rFonts w:ascii="Segoe UI" w:hAnsi="Segoe UI" w:cs="Segoe UI"/>
                <w:sz w:val="21"/>
                <w:szCs w:val="21"/>
                <w:shd w:val="clear" w:color="auto" w:fill="FFFFFF"/>
              </w:rPr>
              <w:t>大成策略回报混合型证券投资基金</w:t>
            </w:r>
          </w:p>
        </w:tc>
        <w:tc>
          <w:tcPr>
            <w:tcW w:w="2922" w:type="dxa"/>
            <w:shd w:val="clear" w:color="auto" w:fill="auto"/>
          </w:tcPr>
          <w:p w:rsidR="00BF392E" w:rsidRDefault="001D7E4D">
            <w:pPr>
              <w:pStyle w:val="TableParagraph"/>
              <w:spacing w:line="252" w:lineRule="exact"/>
              <w:rPr>
                <w:rFonts w:asciiTheme="minorEastAsia" w:eastAsiaTheme="minorEastAsia" w:hAnsiTheme="minorEastAsia"/>
                <w:spacing w:val="-2"/>
                <w:sz w:val="21"/>
                <w:szCs w:val="21"/>
              </w:rPr>
            </w:pPr>
            <w:r>
              <w:rPr>
                <w:rFonts w:asciiTheme="minorEastAsia" w:eastAsiaTheme="minorEastAsia" w:hAnsiTheme="minorEastAsia"/>
                <w:spacing w:val="-2"/>
                <w:sz w:val="21"/>
                <w:szCs w:val="21"/>
              </w:rPr>
              <w:t>A 类份额：</w:t>
            </w:r>
            <w:r>
              <w:rPr>
                <w:rFonts w:asciiTheme="minorEastAsia" w:eastAsiaTheme="minorEastAsia" w:hAnsiTheme="minorEastAsia" w:cs="Segoe UI"/>
                <w:sz w:val="21"/>
                <w:szCs w:val="21"/>
                <w:shd w:val="clear" w:color="auto" w:fill="FFFFFF"/>
              </w:rPr>
              <w:t>090007</w:t>
            </w:r>
          </w:p>
        </w:tc>
      </w:tr>
      <w:tr w:rsidR="00BF39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1"/>
          <w:jc w:val="center"/>
        </w:trPr>
        <w:tc>
          <w:tcPr>
            <w:tcW w:w="934" w:type="dxa"/>
            <w:vMerge/>
            <w:shd w:val="clear" w:color="auto" w:fill="auto"/>
          </w:tcPr>
          <w:p w:rsidR="00BF392E" w:rsidRDefault="00BF392E">
            <w:pPr>
              <w:jc w:val="center"/>
              <w:rPr>
                <w:rFonts w:ascii="Calibri" w:hAnsi="Calibri"/>
                <w:szCs w:val="21"/>
              </w:rPr>
            </w:pPr>
          </w:p>
        </w:tc>
        <w:tc>
          <w:tcPr>
            <w:tcW w:w="3969" w:type="dxa"/>
            <w:vMerge/>
            <w:shd w:val="clear" w:color="auto" w:fill="auto"/>
          </w:tcPr>
          <w:p w:rsidR="00BF392E" w:rsidRDefault="00BF392E">
            <w:pPr>
              <w:jc w:val="center"/>
              <w:rPr>
                <w:sz w:val="24"/>
                <w:szCs w:val="24"/>
              </w:rPr>
            </w:pPr>
          </w:p>
        </w:tc>
        <w:tc>
          <w:tcPr>
            <w:tcW w:w="2922" w:type="dxa"/>
            <w:shd w:val="clear" w:color="auto" w:fill="auto"/>
          </w:tcPr>
          <w:p w:rsidR="00BF392E" w:rsidRDefault="001D7E4D">
            <w:pPr>
              <w:pStyle w:val="TableParagraph"/>
              <w:spacing w:line="252" w:lineRule="exact"/>
              <w:rPr>
                <w:rFonts w:asciiTheme="minorEastAsia" w:eastAsiaTheme="minorEastAsia" w:hAnsiTheme="minorEastAsia"/>
                <w:spacing w:val="-2"/>
                <w:sz w:val="21"/>
                <w:szCs w:val="21"/>
              </w:rPr>
            </w:pPr>
            <w:r>
              <w:rPr>
                <w:rFonts w:asciiTheme="minorEastAsia" w:eastAsiaTheme="minorEastAsia" w:hAnsiTheme="minorEastAsia"/>
                <w:spacing w:val="-2"/>
                <w:sz w:val="21"/>
                <w:szCs w:val="21"/>
              </w:rPr>
              <w:t>C 类份额：</w:t>
            </w:r>
            <w:r>
              <w:rPr>
                <w:rFonts w:asciiTheme="minorEastAsia" w:eastAsiaTheme="minorEastAsia" w:hAnsiTheme="minorEastAsia" w:cs="Segoe UI"/>
                <w:sz w:val="21"/>
                <w:szCs w:val="21"/>
                <w:shd w:val="clear" w:color="auto" w:fill="FFFFFF"/>
              </w:rPr>
              <w:t>018225</w:t>
            </w:r>
          </w:p>
        </w:tc>
      </w:tr>
    </w:tbl>
    <w:p w:rsidR="00BF392E" w:rsidRDefault="001D7E4D">
      <w:pPr>
        <w:pStyle w:val="a5"/>
        <w:spacing w:before="157" w:line="364" w:lineRule="auto"/>
        <w:ind w:left="360" w:right="360" w:firstLine="420"/>
        <w:rPr>
          <w:spacing w:val="-2"/>
          <w:sz w:val="24"/>
          <w:szCs w:val="24"/>
        </w:rPr>
      </w:pPr>
      <w:r>
        <w:rPr>
          <w:spacing w:val="-2"/>
          <w:sz w:val="24"/>
          <w:szCs w:val="24"/>
        </w:rPr>
        <w:t>二、业务规则</w:t>
      </w:r>
    </w:p>
    <w:p w:rsidR="00BF392E" w:rsidRDefault="001D7E4D">
      <w:pPr>
        <w:pStyle w:val="a5"/>
        <w:spacing w:before="159" w:line="364" w:lineRule="auto"/>
        <w:ind w:left="360" w:right="360" w:firstLine="420"/>
        <w:jc w:val="both"/>
        <w:rPr>
          <w:spacing w:val="-4"/>
          <w:sz w:val="24"/>
          <w:szCs w:val="24"/>
        </w:rPr>
      </w:pPr>
      <w:r>
        <w:rPr>
          <w:spacing w:val="-4"/>
          <w:sz w:val="24"/>
          <w:szCs w:val="24"/>
        </w:rPr>
        <w:t>1、同一基金不同类别基金份额间的转换业务（以下简称“本业务”）是指：若投资者持有的某只基金具有多种类别基金份额（各类基金份额分设不同的基金代码），且登记在同一注册登记机构，投资者可以将其持有的某一类基金份额转换成同只基金的其他类基金份额。</w:t>
      </w:r>
    </w:p>
    <w:p w:rsidR="00BF392E" w:rsidRDefault="001D7E4D">
      <w:pPr>
        <w:pStyle w:val="a5"/>
        <w:spacing w:before="159" w:line="364" w:lineRule="auto"/>
        <w:ind w:left="360" w:right="360" w:firstLine="420"/>
        <w:jc w:val="both"/>
        <w:rPr>
          <w:spacing w:val="-4"/>
          <w:sz w:val="24"/>
          <w:szCs w:val="24"/>
        </w:rPr>
      </w:pPr>
      <w:r>
        <w:rPr>
          <w:spacing w:val="-4"/>
          <w:sz w:val="24"/>
          <w:szCs w:val="24"/>
        </w:rPr>
        <w:t>2、同一基金不同类别基金份额间转换转出的最低申请基金份额适用该基金最低转换份额的规定。</w:t>
      </w:r>
    </w:p>
    <w:p w:rsidR="00BF392E" w:rsidRDefault="001D7E4D">
      <w:pPr>
        <w:pStyle w:val="a5"/>
        <w:spacing w:before="159" w:line="364" w:lineRule="auto"/>
        <w:ind w:left="360" w:right="360" w:firstLine="420"/>
        <w:jc w:val="both"/>
        <w:rPr>
          <w:b/>
          <w:sz w:val="24"/>
          <w:szCs w:val="24"/>
        </w:rPr>
      </w:pPr>
      <w:r>
        <w:rPr>
          <w:b/>
          <w:spacing w:val="-4"/>
          <w:sz w:val="24"/>
          <w:szCs w:val="24"/>
        </w:rPr>
        <w:t>3、同一基金不同类别基金份额间相互转换，原持有期限不延续计算。即转入份</w:t>
      </w:r>
      <w:r>
        <w:rPr>
          <w:b/>
          <w:spacing w:val="-4"/>
          <w:sz w:val="24"/>
          <w:szCs w:val="24"/>
        </w:rPr>
        <w:lastRenderedPageBreak/>
        <w:t>额在赎回或</w:t>
      </w:r>
      <w:r>
        <w:rPr>
          <w:b/>
          <w:spacing w:val="-2"/>
          <w:sz w:val="24"/>
          <w:szCs w:val="24"/>
        </w:rPr>
        <w:t>转出时，按持有时段适用的赎回费档次计算赎回费的，该持有时段为该部分份额转入确认日起至该部分份额赎回或转出确认日止的持有期限。</w:t>
      </w:r>
    </w:p>
    <w:p w:rsidR="00BF392E" w:rsidRDefault="001D7E4D">
      <w:pPr>
        <w:pStyle w:val="a5"/>
        <w:spacing w:before="159" w:line="364" w:lineRule="auto"/>
        <w:ind w:left="360" w:right="360" w:firstLine="420"/>
        <w:jc w:val="both"/>
        <w:rPr>
          <w:spacing w:val="-4"/>
          <w:sz w:val="24"/>
          <w:szCs w:val="24"/>
        </w:rPr>
      </w:pPr>
      <w:r>
        <w:rPr>
          <w:spacing w:val="-4"/>
          <w:sz w:val="24"/>
          <w:szCs w:val="24"/>
        </w:rPr>
        <w:t>4、同一基金不同类别基金份额转换时，以申请当日基金份额净值为基础计算。投资者采用 “份额转换”的原则提交申请，不同类别基金份额转换遵循“先进先出”的业务规则。</w:t>
      </w:r>
    </w:p>
    <w:p w:rsidR="00BF392E" w:rsidRDefault="001D7E4D">
      <w:pPr>
        <w:pStyle w:val="a5"/>
        <w:spacing w:before="159" w:line="364" w:lineRule="auto"/>
        <w:ind w:left="360" w:right="360" w:firstLine="420"/>
        <w:jc w:val="both"/>
        <w:rPr>
          <w:spacing w:val="-4"/>
          <w:sz w:val="24"/>
          <w:szCs w:val="24"/>
        </w:rPr>
      </w:pPr>
      <w:r>
        <w:rPr>
          <w:spacing w:val="-4"/>
          <w:sz w:val="24"/>
          <w:szCs w:val="24"/>
        </w:rPr>
        <w:t>5、投资者办理本业务时，转出基金份额类别必须处于可赎回状态，转入基金份额类别必须处于可申购状态，已经冻结的基金份额不得申请转换业务。</w:t>
      </w:r>
    </w:p>
    <w:p w:rsidR="00BF392E" w:rsidRDefault="001D7E4D">
      <w:pPr>
        <w:pStyle w:val="a5"/>
        <w:spacing w:before="159" w:line="364" w:lineRule="auto"/>
        <w:ind w:left="360" w:right="360" w:firstLine="420"/>
        <w:jc w:val="both"/>
        <w:rPr>
          <w:spacing w:val="-4"/>
          <w:sz w:val="24"/>
          <w:szCs w:val="24"/>
        </w:rPr>
      </w:pPr>
      <w:r>
        <w:rPr>
          <w:rFonts w:hint="eastAsia"/>
          <w:spacing w:val="-4"/>
          <w:sz w:val="24"/>
          <w:szCs w:val="24"/>
        </w:rPr>
        <w:t>6、投资者办理本业务后，</w:t>
      </w:r>
      <w:r>
        <w:rPr>
          <w:rFonts w:hint="eastAsia"/>
          <w:bCs/>
          <w:sz w:val="24"/>
        </w:rPr>
        <w:t>单一投资者持有基金份额的比例不得达到或者超过基金份额总数的50%，或者以其他方式变相规避50%集中度限制，具体详见上述基金基金合同和更新招募说明书</w:t>
      </w:r>
      <w:r>
        <w:rPr>
          <w:rFonts w:hint="eastAsia"/>
          <w:spacing w:val="-4"/>
          <w:sz w:val="24"/>
          <w:szCs w:val="24"/>
        </w:rPr>
        <w:t>。</w:t>
      </w:r>
    </w:p>
    <w:p w:rsidR="00BF392E" w:rsidRDefault="001D7E4D">
      <w:pPr>
        <w:pStyle w:val="a5"/>
        <w:spacing w:before="159" w:line="364" w:lineRule="auto"/>
        <w:ind w:left="360" w:right="360" w:firstLine="420"/>
        <w:jc w:val="both"/>
        <w:rPr>
          <w:spacing w:val="-4"/>
          <w:sz w:val="24"/>
          <w:szCs w:val="24"/>
        </w:rPr>
      </w:pPr>
      <w:r>
        <w:rPr>
          <w:spacing w:val="-4"/>
          <w:sz w:val="24"/>
          <w:szCs w:val="24"/>
        </w:rPr>
        <w:t>7、本业务与公司已经开通的不同基金之间相互转换业务不产生冲突。</w:t>
      </w:r>
    </w:p>
    <w:p w:rsidR="00BF392E" w:rsidRDefault="001D7E4D">
      <w:pPr>
        <w:pStyle w:val="a5"/>
        <w:spacing w:before="159" w:line="364" w:lineRule="auto"/>
        <w:ind w:left="360" w:right="360" w:firstLine="420"/>
        <w:jc w:val="both"/>
        <w:rPr>
          <w:spacing w:val="-4"/>
          <w:sz w:val="24"/>
          <w:szCs w:val="24"/>
        </w:rPr>
      </w:pPr>
      <w:r>
        <w:rPr>
          <w:spacing w:val="-4"/>
          <w:sz w:val="24"/>
          <w:szCs w:val="24"/>
        </w:rPr>
        <w:t>8、本公司旗下管理的其他开放式基金将根据具体情况确定是否适用不同类别基金份额之间的转换业务，请投资者以相关公告为准。</w:t>
      </w:r>
    </w:p>
    <w:p w:rsidR="00BF392E" w:rsidRDefault="001D7E4D">
      <w:pPr>
        <w:pStyle w:val="a5"/>
        <w:spacing w:before="159" w:line="364" w:lineRule="auto"/>
        <w:ind w:left="360" w:right="360" w:firstLine="420"/>
        <w:jc w:val="both"/>
        <w:rPr>
          <w:spacing w:val="-4"/>
          <w:sz w:val="24"/>
          <w:szCs w:val="24"/>
        </w:rPr>
      </w:pPr>
      <w:r>
        <w:rPr>
          <w:spacing w:val="-4"/>
          <w:sz w:val="24"/>
          <w:szCs w:val="24"/>
        </w:rPr>
        <w:t>9、由于各销售机构的系统差异以及业务安排等原因，开展同一基金不同类别基金份额之间转换业务的时间及其他未尽事宜详见各销售机构的相关业务规则和公告。同一基金不同类别基金份额间的转换业务只能在同时代理销售该基金多种类别基金份额的同一销售机构进行。</w:t>
      </w:r>
    </w:p>
    <w:p w:rsidR="00BF392E" w:rsidRDefault="001D7E4D">
      <w:pPr>
        <w:pStyle w:val="a5"/>
        <w:spacing w:before="160" w:line="364" w:lineRule="auto"/>
        <w:ind w:left="360" w:right="360" w:firstLine="420"/>
        <w:rPr>
          <w:b/>
          <w:spacing w:val="-4"/>
          <w:sz w:val="24"/>
          <w:szCs w:val="24"/>
        </w:rPr>
      </w:pPr>
      <w:r>
        <w:rPr>
          <w:b/>
          <w:spacing w:val="-4"/>
          <w:sz w:val="24"/>
          <w:szCs w:val="24"/>
        </w:rPr>
        <w:t>三、同一基金不同类别基金份额间相互转换业务的费率计算</w:t>
      </w:r>
    </w:p>
    <w:p w:rsidR="00BF392E" w:rsidRDefault="001D7E4D">
      <w:pPr>
        <w:pStyle w:val="a5"/>
        <w:spacing w:before="159" w:line="364" w:lineRule="auto"/>
        <w:ind w:left="360" w:right="360" w:firstLine="420"/>
        <w:jc w:val="both"/>
        <w:rPr>
          <w:b/>
          <w:spacing w:val="-4"/>
          <w:sz w:val="24"/>
          <w:szCs w:val="24"/>
        </w:rPr>
      </w:pPr>
      <w:r>
        <w:rPr>
          <w:b/>
          <w:spacing w:val="-4"/>
          <w:sz w:val="24"/>
          <w:szCs w:val="24"/>
        </w:rPr>
        <w:t>1、基金转换费用按照转出基金份额赎回费用加上转出与转入基金份额申购费用补差的标准收取。当转出基金份额申购费率低于转入基金份额申购费率时，费用补差为按照转出基金份额金额(不含转出基金赎回费)计算的申购费用差额；当转出基金份额申购费率高于转入基金份额申购费率时，不收取费用补差。</w:t>
      </w:r>
    </w:p>
    <w:p w:rsidR="00BF392E" w:rsidRDefault="001D7E4D">
      <w:pPr>
        <w:pStyle w:val="a5"/>
        <w:spacing w:before="160" w:line="364" w:lineRule="auto"/>
        <w:ind w:left="360" w:right="360" w:firstLine="420"/>
        <w:rPr>
          <w:b/>
          <w:spacing w:val="-4"/>
          <w:sz w:val="24"/>
          <w:szCs w:val="24"/>
        </w:rPr>
      </w:pPr>
      <w:r>
        <w:rPr>
          <w:b/>
          <w:spacing w:val="-4"/>
          <w:sz w:val="24"/>
          <w:szCs w:val="24"/>
        </w:rPr>
        <w:t>2、具体计算公式</w:t>
      </w:r>
    </w:p>
    <w:p w:rsidR="00BF392E" w:rsidRDefault="001D7E4D">
      <w:pPr>
        <w:pStyle w:val="a5"/>
        <w:spacing w:before="160" w:line="364" w:lineRule="auto"/>
        <w:ind w:left="360" w:right="360" w:firstLine="420"/>
        <w:rPr>
          <w:b/>
          <w:spacing w:val="-4"/>
          <w:sz w:val="24"/>
          <w:szCs w:val="24"/>
        </w:rPr>
      </w:pPr>
      <w:r>
        <w:rPr>
          <w:b/>
          <w:spacing w:val="-4"/>
          <w:sz w:val="24"/>
          <w:szCs w:val="24"/>
        </w:rPr>
        <w:t>赎回费用＝转出基金份额×当日转出基金份额净值×赎回费率</w:t>
      </w:r>
    </w:p>
    <w:p w:rsidR="00BF392E" w:rsidRDefault="001D7E4D">
      <w:pPr>
        <w:pStyle w:val="a5"/>
        <w:spacing w:before="160" w:line="364" w:lineRule="auto"/>
        <w:ind w:left="360" w:right="360" w:firstLine="420"/>
        <w:rPr>
          <w:b/>
          <w:spacing w:val="-4"/>
          <w:sz w:val="24"/>
          <w:szCs w:val="24"/>
        </w:rPr>
      </w:pPr>
      <w:r>
        <w:rPr>
          <w:b/>
          <w:spacing w:val="-4"/>
          <w:sz w:val="24"/>
          <w:szCs w:val="24"/>
        </w:rPr>
        <w:t>转出金额＝转出基金份额×当日转出基金份额净值－赎回费用</w:t>
      </w:r>
    </w:p>
    <w:p w:rsidR="00BF392E" w:rsidRDefault="001D7E4D">
      <w:pPr>
        <w:pStyle w:val="a5"/>
        <w:spacing w:before="160" w:line="364" w:lineRule="auto"/>
        <w:ind w:left="360" w:right="360" w:firstLine="420"/>
        <w:rPr>
          <w:b/>
          <w:spacing w:val="-4"/>
          <w:sz w:val="24"/>
          <w:szCs w:val="24"/>
        </w:rPr>
      </w:pPr>
      <w:r>
        <w:rPr>
          <w:b/>
          <w:spacing w:val="-4"/>
          <w:sz w:val="24"/>
          <w:szCs w:val="24"/>
        </w:rPr>
        <w:lastRenderedPageBreak/>
        <w:t>申购补差费用＝max [转入基金份额申购费-转出基金份额申购费，0]</w:t>
      </w:r>
    </w:p>
    <w:p w:rsidR="00BF392E" w:rsidRDefault="001D7E4D">
      <w:pPr>
        <w:pStyle w:val="a5"/>
        <w:spacing w:before="160" w:line="364" w:lineRule="auto"/>
        <w:ind w:left="360" w:right="360" w:firstLine="420"/>
        <w:rPr>
          <w:b/>
          <w:spacing w:val="-4"/>
          <w:sz w:val="24"/>
          <w:szCs w:val="24"/>
        </w:rPr>
      </w:pPr>
      <w:r>
        <w:rPr>
          <w:b/>
          <w:spacing w:val="-4"/>
          <w:sz w:val="24"/>
          <w:szCs w:val="24"/>
        </w:rPr>
        <w:t>转换费用＝赎回费用＋申购补差费用</w:t>
      </w:r>
    </w:p>
    <w:p w:rsidR="00BF392E" w:rsidRDefault="001D7E4D">
      <w:pPr>
        <w:pStyle w:val="a5"/>
        <w:spacing w:before="160" w:line="364" w:lineRule="auto"/>
        <w:ind w:left="360" w:right="360" w:firstLine="420"/>
        <w:rPr>
          <w:b/>
          <w:spacing w:val="-4"/>
          <w:sz w:val="24"/>
          <w:szCs w:val="24"/>
        </w:rPr>
      </w:pPr>
      <w:r>
        <w:rPr>
          <w:b/>
          <w:spacing w:val="-4"/>
          <w:sz w:val="24"/>
          <w:szCs w:val="24"/>
        </w:rPr>
        <w:t>转入金额＝转出基金份额×当日转出基金份额净值－转换费用</w:t>
      </w:r>
    </w:p>
    <w:p w:rsidR="00BF392E" w:rsidRDefault="001D7E4D">
      <w:pPr>
        <w:pStyle w:val="a5"/>
        <w:spacing w:before="160" w:line="364" w:lineRule="auto"/>
        <w:ind w:left="360" w:right="360" w:firstLine="420"/>
        <w:rPr>
          <w:b/>
          <w:spacing w:val="-4"/>
          <w:sz w:val="24"/>
          <w:szCs w:val="24"/>
        </w:rPr>
      </w:pPr>
      <w:r>
        <w:rPr>
          <w:b/>
          <w:spacing w:val="-4"/>
          <w:sz w:val="24"/>
          <w:szCs w:val="24"/>
        </w:rPr>
        <w:t>转入份额＝转入金额／当日转入基金份额净值</w:t>
      </w:r>
    </w:p>
    <w:p w:rsidR="00BF392E" w:rsidRDefault="001D7E4D">
      <w:pPr>
        <w:pStyle w:val="a5"/>
        <w:spacing w:before="160" w:line="364" w:lineRule="auto"/>
        <w:ind w:left="360" w:right="360" w:firstLine="420"/>
        <w:rPr>
          <w:spacing w:val="-4"/>
          <w:sz w:val="24"/>
          <w:szCs w:val="24"/>
        </w:rPr>
      </w:pPr>
      <w:r>
        <w:rPr>
          <w:spacing w:val="-4"/>
          <w:sz w:val="24"/>
          <w:szCs w:val="24"/>
        </w:rPr>
        <w:t>四、业务办理时间</w:t>
      </w:r>
    </w:p>
    <w:p w:rsidR="00BF392E" w:rsidRDefault="001D7E4D">
      <w:pPr>
        <w:pStyle w:val="a5"/>
        <w:spacing w:before="160" w:line="364" w:lineRule="auto"/>
        <w:ind w:left="360" w:right="360" w:firstLine="420"/>
        <w:rPr>
          <w:sz w:val="24"/>
          <w:szCs w:val="24"/>
        </w:rPr>
      </w:pPr>
      <w:r>
        <w:rPr>
          <w:spacing w:val="-4"/>
          <w:sz w:val="24"/>
          <w:szCs w:val="24"/>
        </w:rPr>
        <w:t>本业务的具体办理时间为上海证券交易所</w:t>
      </w:r>
      <w:r>
        <w:rPr>
          <w:spacing w:val="-2"/>
          <w:sz w:val="24"/>
          <w:szCs w:val="24"/>
        </w:rPr>
        <w:t>、深圳证券交易所的正常交易日的交易时间，但基金管理人根据法律法规、中国证监会的要求或基金合同的规定公告暂停基金转换时除外。投资者可以在上述基金的开放期内，到上述基金的销售机构咨询和办理本业务。</w:t>
      </w:r>
    </w:p>
    <w:p w:rsidR="00BF392E" w:rsidRDefault="001D7E4D">
      <w:pPr>
        <w:pStyle w:val="a5"/>
        <w:spacing w:before="160" w:line="364" w:lineRule="auto"/>
        <w:ind w:left="360" w:right="360" w:firstLine="420"/>
        <w:rPr>
          <w:spacing w:val="-4"/>
          <w:sz w:val="24"/>
          <w:szCs w:val="24"/>
        </w:rPr>
      </w:pPr>
      <w:r>
        <w:rPr>
          <w:rFonts w:hint="eastAsia"/>
          <w:spacing w:val="-4"/>
          <w:sz w:val="24"/>
          <w:szCs w:val="24"/>
        </w:rPr>
        <w:t>五、基金合同的修订</w:t>
      </w:r>
    </w:p>
    <w:p w:rsidR="00BF392E" w:rsidRDefault="001D7E4D">
      <w:pPr>
        <w:pStyle w:val="a5"/>
        <w:spacing w:before="160" w:line="364" w:lineRule="auto"/>
        <w:ind w:left="360" w:right="360" w:firstLine="420"/>
        <w:rPr>
          <w:spacing w:val="-4"/>
          <w:sz w:val="24"/>
          <w:szCs w:val="24"/>
        </w:rPr>
      </w:pPr>
      <w:r>
        <w:rPr>
          <w:rFonts w:hint="eastAsia"/>
          <w:spacing w:val="-4"/>
          <w:sz w:val="24"/>
          <w:szCs w:val="24"/>
        </w:rPr>
        <w:t>本公司经与基金托管人协商一致，对上述基金合同中涉及同一基金不同类别基金份额间不得相互转换的相关内容进行删除，并更新基金合同中基金管理人和托管人信息。本次修改对基金份额持有人的利益无实质性不利影响，无需召开基金份额持有人大会审议。修订后的基金合同自</w:t>
      </w:r>
      <w:r>
        <w:rPr>
          <w:spacing w:val="-4"/>
          <w:sz w:val="24"/>
          <w:szCs w:val="24"/>
        </w:rPr>
        <w:t>2025</w:t>
      </w:r>
      <w:r>
        <w:rPr>
          <w:rFonts w:hint="eastAsia"/>
          <w:spacing w:val="-4"/>
          <w:sz w:val="24"/>
          <w:szCs w:val="24"/>
        </w:rPr>
        <w:t>年</w:t>
      </w:r>
      <w:r>
        <w:rPr>
          <w:spacing w:val="-4"/>
          <w:sz w:val="24"/>
          <w:szCs w:val="24"/>
        </w:rPr>
        <w:t>6</w:t>
      </w:r>
      <w:r>
        <w:rPr>
          <w:rFonts w:hint="eastAsia"/>
          <w:spacing w:val="-4"/>
          <w:sz w:val="24"/>
          <w:szCs w:val="24"/>
        </w:rPr>
        <w:t>月</w:t>
      </w:r>
      <w:r>
        <w:rPr>
          <w:spacing w:val="-4"/>
          <w:sz w:val="24"/>
          <w:szCs w:val="24"/>
        </w:rPr>
        <w:t>17</w:t>
      </w:r>
      <w:r>
        <w:rPr>
          <w:rFonts w:hint="eastAsia"/>
          <w:spacing w:val="-4"/>
          <w:sz w:val="24"/>
          <w:szCs w:val="24"/>
        </w:rPr>
        <w:t>日起生效。</w:t>
      </w:r>
      <w:r>
        <w:rPr>
          <w:spacing w:val="-4"/>
          <w:sz w:val="24"/>
          <w:szCs w:val="24"/>
        </w:rPr>
        <w:t>基金管理人将据此在更新基金招募说明书时，对上述相关内容进行相应修订</w:t>
      </w:r>
      <w:r>
        <w:rPr>
          <w:rFonts w:hint="eastAsia"/>
          <w:spacing w:val="-4"/>
          <w:sz w:val="24"/>
          <w:szCs w:val="24"/>
        </w:rPr>
        <w:t>。</w:t>
      </w:r>
    </w:p>
    <w:p w:rsidR="00BF392E" w:rsidRDefault="00BF392E">
      <w:pPr>
        <w:pStyle w:val="a5"/>
        <w:spacing w:line="364" w:lineRule="auto"/>
        <w:ind w:left="360" w:right="389" w:firstLine="420"/>
        <w:jc w:val="both"/>
        <w:rPr>
          <w:spacing w:val="-2"/>
          <w:sz w:val="24"/>
          <w:szCs w:val="24"/>
        </w:rPr>
      </w:pPr>
    </w:p>
    <w:p w:rsidR="00BF392E" w:rsidRDefault="001D7E4D">
      <w:pPr>
        <w:pStyle w:val="a5"/>
        <w:spacing w:line="364" w:lineRule="auto"/>
        <w:ind w:left="360" w:right="389" w:firstLine="420"/>
        <w:jc w:val="both"/>
        <w:rPr>
          <w:spacing w:val="-2"/>
          <w:sz w:val="24"/>
          <w:szCs w:val="24"/>
        </w:rPr>
      </w:pPr>
      <w:r>
        <w:rPr>
          <w:spacing w:val="-2"/>
          <w:sz w:val="24"/>
          <w:szCs w:val="24"/>
        </w:rPr>
        <w:t>本公司若暂停办理该业务，将另行发布公告。投资者可登录本公司网站（</w:t>
      </w:r>
      <w:r>
        <w:rPr>
          <w:rFonts w:hint="eastAsia"/>
          <w:spacing w:val="-2"/>
          <w:sz w:val="24"/>
          <w:szCs w:val="24"/>
        </w:rPr>
        <w:t>www.dcfund.com.cn</w:t>
      </w:r>
      <w:r>
        <w:rPr>
          <w:spacing w:val="-2"/>
          <w:sz w:val="24"/>
          <w:szCs w:val="24"/>
        </w:rPr>
        <w:t>）或拨打本公司客户服务电话（</w:t>
      </w:r>
      <w:r>
        <w:rPr>
          <w:rFonts w:hint="eastAsia"/>
          <w:spacing w:val="-2"/>
          <w:sz w:val="24"/>
          <w:szCs w:val="24"/>
        </w:rPr>
        <w:t>400-888-5558</w:t>
      </w:r>
      <w:r>
        <w:rPr>
          <w:spacing w:val="-2"/>
          <w:sz w:val="24"/>
          <w:szCs w:val="24"/>
        </w:rPr>
        <w:t>）获取相关信息。</w:t>
      </w:r>
    </w:p>
    <w:p w:rsidR="00BF392E" w:rsidRDefault="00BF392E">
      <w:pPr>
        <w:pStyle w:val="a5"/>
        <w:spacing w:line="364" w:lineRule="auto"/>
        <w:ind w:left="360" w:right="389" w:firstLine="420"/>
        <w:jc w:val="both"/>
        <w:rPr>
          <w:spacing w:val="-2"/>
          <w:sz w:val="24"/>
          <w:szCs w:val="24"/>
        </w:rPr>
      </w:pPr>
    </w:p>
    <w:p w:rsidR="00BF392E" w:rsidRDefault="001D7E4D">
      <w:pPr>
        <w:pStyle w:val="a5"/>
        <w:spacing w:line="364" w:lineRule="auto"/>
        <w:ind w:left="360" w:right="389" w:firstLine="420"/>
        <w:jc w:val="both"/>
        <w:rPr>
          <w:spacing w:val="-2"/>
          <w:sz w:val="24"/>
          <w:szCs w:val="24"/>
        </w:rPr>
      </w:pPr>
      <w:r>
        <w:rPr>
          <w:spacing w:val="-2"/>
          <w:sz w:val="24"/>
          <w:szCs w:val="24"/>
        </w:rPr>
        <w:t>风险提示：</w:t>
      </w:r>
    </w:p>
    <w:p w:rsidR="00BF392E" w:rsidRDefault="001D7E4D">
      <w:pPr>
        <w:pStyle w:val="a5"/>
        <w:spacing w:line="364" w:lineRule="auto"/>
        <w:ind w:left="360" w:right="389" w:firstLine="420"/>
        <w:jc w:val="both"/>
        <w:rPr>
          <w:spacing w:val="-2"/>
          <w:sz w:val="24"/>
          <w:szCs w:val="24"/>
        </w:rPr>
      </w:pPr>
      <w:r>
        <w:rPr>
          <w:spacing w:val="-4"/>
          <w:sz w:val="24"/>
          <w:szCs w:val="24"/>
        </w:rPr>
        <w:t>基金管理人承诺以诚实信用、勤勉尽责的原则管理和运用基金资产，但不保证基金一定盈利，也不保证最低收益。</w:t>
      </w:r>
      <w:r>
        <w:rPr>
          <w:spacing w:val="-4"/>
          <w:sz w:val="24"/>
          <w:szCs w:val="24"/>
          <w:lang/>
        </w:rPr>
        <w:t>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w:t>
      </w:r>
      <w:r>
        <w:rPr>
          <w:spacing w:val="-4"/>
          <w:sz w:val="24"/>
          <w:szCs w:val="24"/>
        </w:rPr>
        <w:t>敬请投资者留意投资风险。</w:t>
      </w:r>
    </w:p>
    <w:p w:rsidR="00BF392E" w:rsidRDefault="001D7E4D">
      <w:pPr>
        <w:pStyle w:val="a5"/>
        <w:spacing w:line="364" w:lineRule="auto"/>
        <w:ind w:left="360" w:right="389" w:firstLine="420"/>
        <w:jc w:val="both"/>
        <w:rPr>
          <w:spacing w:val="-2"/>
          <w:sz w:val="24"/>
          <w:szCs w:val="24"/>
        </w:rPr>
      </w:pPr>
      <w:r>
        <w:rPr>
          <w:spacing w:val="-2"/>
          <w:sz w:val="24"/>
          <w:szCs w:val="24"/>
        </w:rPr>
        <w:t>特此公告</w:t>
      </w:r>
    </w:p>
    <w:p w:rsidR="00BF392E" w:rsidRDefault="00BF392E">
      <w:pPr>
        <w:pStyle w:val="a5"/>
        <w:spacing w:line="364" w:lineRule="auto"/>
        <w:ind w:left="360" w:right="389" w:firstLine="420"/>
        <w:jc w:val="both"/>
        <w:rPr>
          <w:spacing w:val="-2"/>
          <w:sz w:val="24"/>
          <w:szCs w:val="24"/>
        </w:rPr>
      </w:pPr>
    </w:p>
    <w:p w:rsidR="00BF392E" w:rsidRDefault="00BF392E">
      <w:pPr>
        <w:pStyle w:val="a5"/>
        <w:spacing w:before="11"/>
        <w:rPr>
          <w:sz w:val="24"/>
          <w:szCs w:val="24"/>
        </w:rPr>
      </w:pPr>
    </w:p>
    <w:p w:rsidR="00BF392E" w:rsidRDefault="001D7E4D">
      <w:pPr>
        <w:pStyle w:val="a5"/>
        <w:ind w:right="360"/>
        <w:jc w:val="right"/>
        <w:rPr>
          <w:sz w:val="24"/>
          <w:szCs w:val="24"/>
        </w:rPr>
      </w:pPr>
      <w:r>
        <w:rPr>
          <w:rFonts w:hint="eastAsia"/>
          <w:spacing w:val="-3"/>
          <w:sz w:val="24"/>
          <w:szCs w:val="24"/>
        </w:rPr>
        <w:t>大成</w:t>
      </w:r>
      <w:r>
        <w:rPr>
          <w:spacing w:val="-3"/>
          <w:sz w:val="24"/>
          <w:szCs w:val="24"/>
        </w:rPr>
        <w:t>基金管理有限公司</w:t>
      </w:r>
    </w:p>
    <w:p w:rsidR="00BF392E" w:rsidRDefault="001D7E4D">
      <w:pPr>
        <w:pStyle w:val="a5"/>
        <w:spacing w:before="139"/>
        <w:ind w:right="360"/>
        <w:jc w:val="right"/>
        <w:rPr>
          <w:spacing w:val="-10"/>
          <w:sz w:val="24"/>
          <w:szCs w:val="24"/>
        </w:rPr>
      </w:pPr>
      <w:r>
        <w:rPr>
          <w:spacing w:val="-2"/>
          <w:sz w:val="24"/>
          <w:szCs w:val="24"/>
        </w:rPr>
        <w:t>2025年6月14</w:t>
      </w:r>
      <w:r>
        <w:rPr>
          <w:spacing w:val="-10"/>
          <w:sz w:val="24"/>
          <w:szCs w:val="24"/>
        </w:rPr>
        <w:t>日</w:t>
      </w:r>
    </w:p>
    <w:p w:rsidR="00BF392E" w:rsidRDefault="001D7E4D">
      <w:pPr>
        <w:rPr>
          <w:spacing w:val="-10"/>
          <w:sz w:val="24"/>
          <w:szCs w:val="24"/>
        </w:rPr>
      </w:pPr>
      <w:r>
        <w:rPr>
          <w:spacing w:val="-10"/>
          <w:sz w:val="24"/>
          <w:szCs w:val="24"/>
        </w:rPr>
        <w:br w:type="page"/>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附表：基金合同修订</w:t>
      </w:r>
    </w:p>
    <w:tbl>
      <w:tblPr>
        <w:tblStyle w:val="a7"/>
        <w:tblW w:w="5000" w:type="pct"/>
        <w:tblLook w:val="04A0"/>
      </w:tblPr>
      <w:tblGrid>
        <w:gridCol w:w="2093"/>
        <w:gridCol w:w="3685"/>
        <w:gridCol w:w="3798"/>
      </w:tblGrid>
      <w:tr w:rsidR="00BF392E">
        <w:tc>
          <w:tcPr>
            <w:tcW w:w="1093" w:type="pct"/>
          </w:tcPr>
          <w:p w:rsidR="00BF392E" w:rsidRDefault="001D7E4D">
            <w:pPr>
              <w:jc w:val="center"/>
              <w:rPr>
                <w:rFonts w:asciiTheme="majorEastAsia" w:eastAsiaTheme="majorEastAsia" w:hAnsiTheme="majorEastAsia" w:cs="Arial"/>
                <w:sz w:val="20"/>
              </w:rPr>
            </w:pPr>
            <w:r>
              <w:rPr>
                <w:rFonts w:asciiTheme="majorEastAsia" w:eastAsiaTheme="majorEastAsia" w:hAnsiTheme="majorEastAsia" w:cs="Arial" w:hint="eastAsia"/>
                <w:sz w:val="20"/>
              </w:rPr>
              <w:t>基金名称</w:t>
            </w:r>
          </w:p>
        </w:tc>
        <w:tc>
          <w:tcPr>
            <w:tcW w:w="1924" w:type="pct"/>
          </w:tcPr>
          <w:p w:rsidR="00BF392E" w:rsidRDefault="001D7E4D">
            <w:pPr>
              <w:jc w:val="center"/>
              <w:rPr>
                <w:rFonts w:asciiTheme="majorEastAsia" w:eastAsiaTheme="majorEastAsia" w:hAnsiTheme="majorEastAsia" w:cs="Arial"/>
                <w:sz w:val="20"/>
              </w:rPr>
            </w:pPr>
            <w:r>
              <w:rPr>
                <w:rFonts w:asciiTheme="majorEastAsia" w:eastAsiaTheme="majorEastAsia" w:hAnsiTheme="majorEastAsia" w:cs="Arial" w:hint="eastAsia"/>
                <w:sz w:val="20"/>
              </w:rPr>
              <w:t>修订前</w:t>
            </w:r>
          </w:p>
        </w:tc>
        <w:tc>
          <w:tcPr>
            <w:tcW w:w="1983" w:type="pct"/>
          </w:tcPr>
          <w:p w:rsidR="00BF392E" w:rsidRDefault="001D7E4D">
            <w:pPr>
              <w:jc w:val="center"/>
              <w:rPr>
                <w:rFonts w:asciiTheme="majorEastAsia" w:eastAsiaTheme="majorEastAsia" w:hAnsiTheme="majorEastAsia" w:cs="Arial"/>
                <w:sz w:val="20"/>
              </w:rPr>
            </w:pPr>
            <w:r>
              <w:rPr>
                <w:rFonts w:asciiTheme="majorEastAsia" w:eastAsiaTheme="majorEastAsia" w:hAnsiTheme="majorEastAsia" w:cs="Arial" w:hint="eastAsia"/>
                <w:sz w:val="20"/>
              </w:rPr>
              <w:t>修订后</w:t>
            </w:r>
          </w:p>
        </w:tc>
      </w:tr>
      <w:tr w:rsidR="00BF392E">
        <w:trPr>
          <w:trHeight w:val="1731"/>
        </w:trPr>
        <w:tc>
          <w:tcPr>
            <w:tcW w:w="1093" w:type="pct"/>
            <w:vMerge w:val="restar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大成聚优成长混合型证券投资基金</w:t>
            </w:r>
          </w:p>
        </w:tc>
        <w:tc>
          <w:tcPr>
            <w:tcW w:w="1924" w:type="pct"/>
          </w:tcPr>
          <w:p w:rsidR="00BF392E" w:rsidRDefault="001D7E4D">
            <w:pPr>
              <w:pStyle w:val="a5"/>
              <w:spacing w:before="41"/>
              <w:rPr>
                <w:rFonts w:asciiTheme="majorEastAsia" w:eastAsiaTheme="majorEastAsia" w:hAnsiTheme="majorEastAsia" w:cs="Arial"/>
                <w:kern w:val="2"/>
                <w:sz w:val="20"/>
                <w:szCs w:val="22"/>
              </w:rPr>
            </w:pPr>
            <w:bookmarkStart w:id="1" w:name="_Toc139992307"/>
            <w:bookmarkStart w:id="2" w:name="_Toc139991732"/>
            <w:bookmarkStart w:id="3" w:name="_Toc123112269"/>
            <w:bookmarkStart w:id="4" w:name="_Toc123112230"/>
            <w:bookmarkStart w:id="5" w:name="_Toc123701390"/>
            <w:bookmarkStart w:id="6" w:name="_Toc266447227"/>
            <w:bookmarkStart w:id="7" w:name="_Toc280710340"/>
            <w:bookmarkStart w:id="8" w:name="_Toc282607662"/>
            <w:bookmarkStart w:id="9" w:name="_Toc132881704"/>
            <w:r>
              <w:rPr>
                <w:rFonts w:asciiTheme="majorEastAsia" w:eastAsiaTheme="majorEastAsia" w:hAnsiTheme="majorEastAsia" w:cs="Arial" w:hint="eastAsia"/>
                <w:kern w:val="2"/>
                <w:sz w:val="20"/>
                <w:szCs w:val="22"/>
              </w:rPr>
              <w:t xml:space="preserve">第二部分 </w:t>
            </w:r>
            <w:r>
              <w:rPr>
                <w:rFonts w:asciiTheme="majorEastAsia" w:eastAsiaTheme="majorEastAsia" w:hAnsiTheme="majorEastAsia" w:cs="Arial"/>
                <w:kern w:val="2"/>
                <w:sz w:val="20"/>
                <w:szCs w:val="22"/>
              </w:rPr>
              <w:t xml:space="preserve"> 释  义</w:t>
            </w:r>
            <w:bookmarkEnd w:id="1"/>
            <w:bookmarkEnd w:id="2"/>
            <w:bookmarkEnd w:id="3"/>
            <w:bookmarkEnd w:id="4"/>
            <w:bookmarkEnd w:id="5"/>
            <w:bookmarkEnd w:id="6"/>
            <w:bookmarkEnd w:id="7"/>
            <w:bookmarkEnd w:id="8"/>
            <w:bookmarkEnd w:id="9"/>
          </w:p>
          <w:p w:rsidR="00BF392E" w:rsidRDefault="001D7E4D">
            <w:pPr>
              <w:pStyle w:val="a5"/>
              <w:spacing w:before="41"/>
              <w:rPr>
                <w:rFonts w:asciiTheme="majorEastAsia" w:eastAsiaTheme="majorEastAsia" w:hAnsiTheme="majorEastAsia" w:cs="Arial"/>
                <w:kern w:val="2"/>
                <w:sz w:val="20"/>
              </w:rPr>
            </w:pPr>
            <w:r>
              <w:rPr>
                <w:rFonts w:asciiTheme="majorEastAsia" w:eastAsiaTheme="majorEastAsia" w:hAnsiTheme="majorEastAsia" w:cs="Arial" w:hint="eastAsia"/>
                <w:kern w:val="2"/>
                <w:sz w:val="20"/>
                <w:szCs w:val="22"/>
              </w:rPr>
              <w:t>4</w:t>
            </w:r>
            <w:r>
              <w:rPr>
                <w:rFonts w:asciiTheme="majorEastAsia" w:eastAsiaTheme="majorEastAsia" w:hAnsiTheme="majorEastAsia" w:cs="Arial"/>
                <w:kern w:val="2"/>
                <w:sz w:val="20"/>
                <w:szCs w:val="22"/>
              </w:rPr>
              <w:t>3</w:t>
            </w:r>
            <w:r>
              <w:rPr>
                <w:rFonts w:asciiTheme="majorEastAsia" w:eastAsiaTheme="majorEastAsia" w:hAnsiTheme="majorEastAsia" w:cs="Arial" w:hint="eastAsia"/>
                <w:kern w:val="2"/>
                <w:sz w:val="20"/>
                <w:szCs w:val="22"/>
              </w:rPr>
              <w:t>、</w:t>
            </w:r>
            <w:r>
              <w:rPr>
                <w:rFonts w:asciiTheme="majorEastAsia" w:eastAsiaTheme="majorEastAsia" w:hAnsiTheme="majorEastAsia" w:cs="Arial"/>
                <w:kern w:val="2"/>
                <w:sz w:val="20"/>
                <w:szCs w:val="22"/>
              </w:rPr>
              <w:t>基金转换：指基金份额持有人按照本基金合同和基金管理人届时有效公告规定的条件，申请将其持有基金管理人管理的、某一基金的基金份额转换为基金管理人管理的其他</w:t>
            </w:r>
            <w:r>
              <w:rPr>
                <w:rFonts w:asciiTheme="majorEastAsia" w:eastAsiaTheme="majorEastAsia" w:hAnsiTheme="majorEastAsia" w:cs="Arial"/>
                <w:b/>
                <w:strike/>
                <w:kern w:val="2"/>
                <w:sz w:val="20"/>
                <w:szCs w:val="22"/>
              </w:rPr>
              <w:t>基金</w:t>
            </w:r>
            <w:r>
              <w:rPr>
                <w:rFonts w:asciiTheme="majorEastAsia" w:eastAsiaTheme="majorEastAsia" w:hAnsiTheme="majorEastAsia" w:cs="Arial"/>
                <w:kern w:val="2"/>
                <w:sz w:val="20"/>
                <w:szCs w:val="22"/>
              </w:rPr>
              <w:t>基金份额的行为</w:t>
            </w:r>
          </w:p>
        </w:tc>
        <w:tc>
          <w:tcPr>
            <w:tcW w:w="1983"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第</w:t>
            </w:r>
            <w:r>
              <w:rPr>
                <w:rFonts w:asciiTheme="majorEastAsia" w:eastAsiaTheme="majorEastAsia" w:hAnsiTheme="majorEastAsia" w:cs="Arial"/>
                <w:kern w:val="2"/>
                <w:sz w:val="20"/>
                <w:szCs w:val="22"/>
              </w:rPr>
              <w:t>二部分</w:t>
            </w:r>
            <w:r>
              <w:rPr>
                <w:rFonts w:asciiTheme="majorEastAsia" w:eastAsiaTheme="majorEastAsia" w:hAnsiTheme="majorEastAsia" w:cs="Arial" w:hint="eastAsia"/>
                <w:kern w:val="2"/>
                <w:sz w:val="20"/>
                <w:szCs w:val="22"/>
              </w:rPr>
              <w:t>、释义</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4</w:t>
            </w:r>
            <w:r>
              <w:rPr>
                <w:rFonts w:asciiTheme="majorEastAsia" w:eastAsiaTheme="majorEastAsia" w:hAnsiTheme="majorEastAsia" w:cs="Arial"/>
                <w:kern w:val="2"/>
                <w:sz w:val="20"/>
                <w:szCs w:val="22"/>
              </w:rPr>
              <w:t>3</w:t>
            </w:r>
            <w:r>
              <w:rPr>
                <w:rFonts w:asciiTheme="majorEastAsia" w:eastAsiaTheme="majorEastAsia" w:hAnsiTheme="majorEastAsia" w:cs="Arial" w:hint="eastAsia"/>
                <w:kern w:val="2"/>
                <w:sz w:val="20"/>
                <w:szCs w:val="22"/>
              </w:rPr>
              <w:t>、</w:t>
            </w:r>
            <w:r>
              <w:rPr>
                <w:rFonts w:asciiTheme="majorEastAsia" w:eastAsiaTheme="majorEastAsia" w:hAnsiTheme="majorEastAsia" w:cs="Arial"/>
                <w:kern w:val="2"/>
                <w:sz w:val="20"/>
                <w:szCs w:val="22"/>
              </w:rPr>
              <w:t>基金转换：指基金份额持有人按照本基金合同和基金管理人届时有效公告规定的条件，申请将其持有基金管理人管理的、某一基金的基金份额转换为基金管理人管理的其他基金份额的行为</w:t>
            </w:r>
          </w:p>
          <w:p w:rsidR="00BF392E" w:rsidRDefault="00BF392E">
            <w:pPr>
              <w:pStyle w:val="a5"/>
              <w:spacing w:before="41"/>
              <w:rPr>
                <w:rFonts w:asciiTheme="majorEastAsia" w:eastAsiaTheme="majorEastAsia" w:hAnsiTheme="majorEastAsia" w:cs="Arial"/>
                <w:sz w:val="20"/>
              </w:rPr>
            </w:pPr>
          </w:p>
        </w:tc>
      </w:tr>
      <w:tr w:rsidR="00BF392E">
        <w:trPr>
          <w:trHeight w:val="1259"/>
        </w:trPr>
        <w:tc>
          <w:tcPr>
            <w:tcW w:w="1093" w:type="pct"/>
            <w:vMerge/>
          </w:tcPr>
          <w:p w:rsidR="00BF392E" w:rsidRDefault="00BF392E">
            <w:pPr>
              <w:pStyle w:val="a5"/>
              <w:spacing w:before="41"/>
              <w:rPr>
                <w:rFonts w:asciiTheme="majorEastAsia" w:eastAsiaTheme="majorEastAsia" w:hAnsiTheme="majorEastAsia" w:cs="Arial"/>
                <w:kern w:val="2"/>
                <w:sz w:val="20"/>
                <w:szCs w:val="22"/>
              </w:rPr>
            </w:pPr>
          </w:p>
        </w:tc>
        <w:tc>
          <w:tcPr>
            <w:tcW w:w="1924"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第三部分 基金的基本情况</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八、</w:t>
            </w:r>
            <w:r>
              <w:rPr>
                <w:rFonts w:asciiTheme="majorEastAsia" w:eastAsiaTheme="majorEastAsia" w:hAnsiTheme="majorEastAsia" w:cs="Arial" w:hint="eastAsia"/>
                <w:kern w:val="2"/>
                <w:sz w:val="20"/>
                <w:szCs w:val="22"/>
              </w:rPr>
              <w:t>基金份额类别</w:t>
            </w:r>
          </w:p>
          <w:p w:rsidR="00BF392E" w:rsidRDefault="001D7E4D">
            <w:pPr>
              <w:pStyle w:val="a5"/>
              <w:spacing w:before="41"/>
              <w:rPr>
                <w:rFonts w:asciiTheme="majorEastAsia" w:eastAsiaTheme="majorEastAsia" w:hAnsiTheme="majorEastAsia" w:cs="Arial"/>
                <w:sz w:val="20"/>
              </w:rPr>
            </w:pPr>
            <w:r>
              <w:rPr>
                <w:rFonts w:asciiTheme="majorEastAsia" w:eastAsiaTheme="majorEastAsia" w:hAnsiTheme="majorEastAsia" w:cs="Arial" w:hint="eastAsia"/>
                <w:kern w:val="2"/>
                <w:sz w:val="20"/>
                <w:szCs w:val="22"/>
              </w:rPr>
              <w:t>本基金A类和C类基金份额分别设置代码。</w:t>
            </w:r>
            <w:r>
              <w:rPr>
                <w:rFonts w:asciiTheme="majorEastAsia" w:eastAsiaTheme="majorEastAsia" w:hAnsiTheme="majorEastAsia" w:cs="Arial" w:hint="eastAsia"/>
                <w:b/>
                <w:strike/>
                <w:kern w:val="2"/>
                <w:sz w:val="20"/>
                <w:szCs w:val="22"/>
              </w:rPr>
              <w:t>两类份额之间不能转换。</w:t>
            </w:r>
            <w:r>
              <w:rPr>
                <w:rFonts w:asciiTheme="majorEastAsia" w:eastAsiaTheme="majorEastAsia" w:hAnsiTheme="majorEastAsia" w:cs="Arial" w:hint="eastAsia"/>
                <w:kern w:val="2"/>
                <w:sz w:val="20"/>
                <w:szCs w:val="22"/>
              </w:rPr>
              <w:t>由于基金费用的不同，本基金A类基金份额和C类基金份额将分别计算基金份额净值，计算公式为计算日各类别基金资产净值除以计算日该类别基金份额总数。</w:t>
            </w:r>
          </w:p>
        </w:tc>
        <w:tc>
          <w:tcPr>
            <w:tcW w:w="1983"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第三部分 基金的基本情况</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八、</w:t>
            </w:r>
            <w:r>
              <w:rPr>
                <w:rFonts w:asciiTheme="majorEastAsia" w:eastAsiaTheme="majorEastAsia" w:hAnsiTheme="majorEastAsia" w:cs="Arial" w:hint="eastAsia"/>
                <w:kern w:val="2"/>
                <w:sz w:val="20"/>
                <w:szCs w:val="22"/>
              </w:rPr>
              <w:t>基金份额类别</w:t>
            </w:r>
          </w:p>
          <w:p w:rsidR="00BF392E" w:rsidRDefault="001D7E4D">
            <w:pPr>
              <w:pStyle w:val="a5"/>
              <w:spacing w:before="41"/>
              <w:rPr>
                <w:rFonts w:asciiTheme="majorEastAsia" w:eastAsiaTheme="majorEastAsia" w:hAnsiTheme="majorEastAsia" w:cs="Arial"/>
                <w:sz w:val="20"/>
              </w:rPr>
            </w:pPr>
            <w:r>
              <w:rPr>
                <w:rFonts w:asciiTheme="majorEastAsia" w:eastAsiaTheme="majorEastAsia" w:hAnsiTheme="majorEastAsia" w:cs="Arial" w:hint="eastAsia"/>
                <w:kern w:val="2"/>
                <w:sz w:val="20"/>
                <w:szCs w:val="22"/>
              </w:rPr>
              <w:t>本基金A类和C类基金份额分别设置代码。由于基金费用的不同，本基金A类基金份额和C类基金份额将分别计算基金份额净值，计算公式为计算日各类别基金资产净值除以计算日该类别基金份额总数。</w:t>
            </w:r>
          </w:p>
        </w:tc>
      </w:tr>
      <w:tr w:rsidR="00BF392E">
        <w:trPr>
          <w:trHeight w:val="1259"/>
        </w:trPr>
        <w:tc>
          <w:tcPr>
            <w:tcW w:w="1093" w:type="pct"/>
            <w:vMerge/>
          </w:tcPr>
          <w:p w:rsidR="00BF392E" w:rsidRDefault="00BF392E">
            <w:pPr>
              <w:pStyle w:val="a5"/>
              <w:spacing w:before="41"/>
              <w:rPr>
                <w:rFonts w:asciiTheme="majorEastAsia" w:eastAsiaTheme="majorEastAsia" w:hAnsiTheme="majorEastAsia" w:cs="Arial"/>
                <w:kern w:val="2"/>
                <w:sz w:val="20"/>
                <w:szCs w:val="22"/>
              </w:rPr>
            </w:pPr>
          </w:p>
        </w:tc>
        <w:tc>
          <w:tcPr>
            <w:tcW w:w="1924" w:type="pct"/>
          </w:tcPr>
          <w:p w:rsidR="00BF392E" w:rsidRDefault="001D7E4D">
            <w:pPr>
              <w:pStyle w:val="a5"/>
              <w:spacing w:before="41"/>
              <w:rPr>
                <w:rFonts w:asciiTheme="majorEastAsia" w:eastAsiaTheme="majorEastAsia" w:hAnsiTheme="majorEastAsia" w:cs="Arial"/>
                <w:kern w:val="2"/>
                <w:sz w:val="20"/>
                <w:szCs w:val="22"/>
              </w:rPr>
            </w:pPr>
            <w:bookmarkStart w:id="10" w:name="_Toc48649707"/>
            <w:bookmarkStart w:id="11" w:name="_Toc79392606"/>
            <w:bookmarkStart w:id="12" w:name="_Toc98560352"/>
            <w:bookmarkStart w:id="13" w:name="_Toc123051452"/>
            <w:bookmarkStart w:id="14" w:name="_Toc123102453"/>
            <w:bookmarkStart w:id="15" w:name="_Toc123112234"/>
            <w:bookmarkStart w:id="16" w:name="_Toc139991736"/>
            <w:bookmarkStart w:id="17" w:name="_Toc248056403"/>
            <w:bookmarkStart w:id="18" w:name="_Toc266447231"/>
            <w:bookmarkStart w:id="19" w:name="_Toc132881708"/>
            <w:r>
              <w:rPr>
                <w:rFonts w:asciiTheme="majorEastAsia" w:eastAsiaTheme="majorEastAsia" w:hAnsiTheme="majorEastAsia" w:cs="Arial"/>
                <w:kern w:val="2"/>
                <w:sz w:val="20"/>
                <w:szCs w:val="22"/>
              </w:rPr>
              <w:t>第</w:t>
            </w:r>
            <w:r>
              <w:rPr>
                <w:rFonts w:asciiTheme="majorEastAsia" w:eastAsiaTheme="majorEastAsia" w:hAnsiTheme="majorEastAsia" w:cs="Arial" w:hint="eastAsia"/>
                <w:kern w:val="2"/>
                <w:sz w:val="20"/>
                <w:szCs w:val="22"/>
              </w:rPr>
              <w:t>六</w:t>
            </w:r>
            <w:r>
              <w:rPr>
                <w:rFonts w:asciiTheme="majorEastAsia" w:eastAsiaTheme="majorEastAsia" w:hAnsiTheme="majorEastAsia" w:cs="Arial"/>
                <w:kern w:val="2"/>
                <w:sz w:val="20"/>
                <w:szCs w:val="22"/>
              </w:rPr>
              <w:t>部分  基金份额的申购与赎回</w:t>
            </w:r>
            <w:bookmarkEnd w:id="10"/>
            <w:bookmarkEnd w:id="11"/>
            <w:bookmarkEnd w:id="12"/>
            <w:bookmarkEnd w:id="13"/>
            <w:bookmarkEnd w:id="14"/>
            <w:bookmarkEnd w:id="15"/>
            <w:bookmarkEnd w:id="16"/>
            <w:bookmarkEnd w:id="17"/>
            <w:bookmarkEnd w:id="18"/>
            <w:bookmarkEnd w:id="19"/>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十</w:t>
            </w:r>
            <w:r>
              <w:rPr>
                <w:rFonts w:asciiTheme="majorEastAsia" w:eastAsiaTheme="majorEastAsia" w:hAnsiTheme="majorEastAsia" w:cs="Arial" w:hint="eastAsia"/>
                <w:kern w:val="2"/>
                <w:sz w:val="20"/>
                <w:szCs w:val="22"/>
              </w:rPr>
              <w:t>一、</w:t>
            </w:r>
            <w:r>
              <w:rPr>
                <w:rFonts w:asciiTheme="majorEastAsia" w:eastAsiaTheme="majorEastAsia" w:hAnsiTheme="majorEastAsia" w:cs="Arial"/>
                <w:kern w:val="2"/>
                <w:sz w:val="20"/>
                <w:szCs w:val="22"/>
              </w:rPr>
              <w:t>基金转换</w:t>
            </w:r>
          </w:p>
          <w:p w:rsidR="00BF392E" w:rsidRDefault="001D7E4D">
            <w:pPr>
              <w:pStyle w:val="a5"/>
              <w:spacing w:before="41"/>
              <w:rPr>
                <w:rFonts w:asciiTheme="majorEastAsia" w:eastAsiaTheme="majorEastAsia" w:hAnsiTheme="majorEastAsia" w:cs="Arial"/>
                <w:b/>
                <w:strike/>
                <w:kern w:val="2"/>
                <w:sz w:val="20"/>
                <w:szCs w:val="22"/>
              </w:rPr>
            </w:pPr>
            <w:r>
              <w:rPr>
                <w:rFonts w:asciiTheme="majorEastAsia" w:eastAsiaTheme="majorEastAsia" w:hAnsiTheme="majorEastAsia" w:cs="Arial"/>
                <w:kern w:val="2"/>
                <w:sz w:val="20"/>
                <w:szCs w:val="22"/>
              </w:rPr>
              <w:t>基金管理人可以根据相关法律法规以及本基金合同的规定决定开办本基金</w:t>
            </w:r>
            <w:r>
              <w:rPr>
                <w:rFonts w:asciiTheme="majorEastAsia" w:eastAsiaTheme="majorEastAsia" w:hAnsiTheme="majorEastAsia" w:cs="Arial"/>
                <w:b/>
                <w:strike/>
                <w:kern w:val="2"/>
                <w:sz w:val="20"/>
                <w:szCs w:val="22"/>
              </w:rPr>
              <w:t>与基金管理人管理的其他基金之间</w:t>
            </w:r>
            <w:r>
              <w:rPr>
                <w:rFonts w:asciiTheme="majorEastAsia" w:eastAsiaTheme="majorEastAsia" w:hAnsiTheme="majorEastAsia" w:cs="Arial"/>
                <w:kern w:val="2"/>
                <w:sz w:val="20"/>
                <w:szCs w:val="22"/>
              </w:rPr>
              <w:t>的转换业务，基金转换可以收取一定的转换费，相关规则由基金管理人届时根据相关法律法规及本基金合同的规定制定并公告，并提前</w:t>
            </w:r>
            <w:r>
              <w:rPr>
                <w:rFonts w:asciiTheme="majorEastAsia" w:eastAsiaTheme="majorEastAsia" w:hAnsiTheme="majorEastAsia" w:cs="Arial" w:hint="eastAsia"/>
                <w:kern w:val="2"/>
                <w:sz w:val="20"/>
                <w:szCs w:val="22"/>
              </w:rPr>
              <w:t>在合理时间内</w:t>
            </w:r>
            <w:r>
              <w:rPr>
                <w:rFonts w:asciiTheme="majorEastAsia" w:eastAsiaTheme="majorEastAsia" w:hAnsiTheme="majorEastAsia" w:cs="Arial"/>
                <w:kern w:val="2"/>
                <w:sz w:val="20"/>
                <w:szCs w:val="22"/>
              </w:rPr>
              <w:t>告知基金托管人与相关机构。</w:t>
            </w:r>
          </w:p>
        </w:tc>
        <w:tc>
          <w:tcPr>
            <w:tcW w:w="1983"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第</w:t>
            </w:r>
            <w:r>
              <w:rPr>
                <w:rFonts w:asciiTheme="majorEastAsia" w:eastAsiaTheme="majorEastAsia" w:hAnsiTheme="majorEastAsia" w:cs="Arial" w:hint="eastAsia"/>
                <w:kern w:val="2"/>
                <w:sz w:val="20"/>
                <w:szCs w:val="22"/>
              </w:rPr>
              <w:t>六</w:t>
            </w:r>
            <w:r>
              <w:rPr>
                <w:rFonts w:asciiTheme="majorEastAsia" w:eastAsiaTheme="majorEastAsia" w:hAnsiTheme="majorEastAsia" w:cs="Arial"/>
                <w:kern w:val="2"/>
                <w:sz w:val="20"/>
                <w:szCs w:val="22"/>
              </w:rPr>
              <w:t>部分  基金份额的申购与赎回</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十</w:t>
            </w:r>
            <w:r>
              <w:rPr>
                <w:rFonts w:asciiTheme="majorEastAsia" w:eastAsiaTheme="majorEastAsia" w:hAnsiTheme="majorEastAsia" w:cs="Arial" w:hint="eastAsia"/>
                <w:kern w:val="2"/>
                <w:sz w:val="20"/>
                <w:szCs w:val="22"/>
              </w:rPr>
              <w:t>一、</w:t>
            </w:r>
            <w:r>
              <w:rPr>
                <w:rFonts w:asciiTheme="majorEastAsia" w:eastAsiaTheme="majorEastAsia" w:hAnsiTheme="majorEastAsia" w:cs="Arial"/>
                <w:kern w:val="2"/>
                <w:sz w:val="20"/>
                <w:szCs w:val="22"/>
              </w:rPr>
              <w:t>基金转换</w:t>
            </w:r>
          </w:p>
          <w:p w:rsidR="00BF392E" w:rsidRDefault="001D7E4D">
            <w:pPr>
              <w:pStyle w:val="a5"/>
              <w:spacing w:before="41"/>
              <w:rPr>
                <w:rFonts w:asciiTheme="majorEastAsia" w:eastAsiaTheme="majorEastAsia" w:hAnsiTheme="majorEastAsia" w:cs="Arial"/>
                <w:b/>
                <w:kern w:val="2"/>
                <w:sz w:val="20"/>
                <w:szCs w:val="22"/>
              </w:rPr>
            </w:pPr>
            <w:r>
              <w:rPr>
                <w:rFonts w:asciiTheme="majorEastAsia" w:eastAsiaTheme="majorEastAsia" w:hAnsiTheme="majorEastAsia" w:cs="Arial"/>
                <w:kern w:val="2"/>
                <w:sz w:val="20"/>
                <w:szCs w:val="22"/>
              </w:rPr>
              <w:t>基金管理人可以根据相关法律法规以及本基金合同的规定决定开办本基金的转换业务，基金转换可以收取一定的转换费，相关规则由基金管理人届时根据相关法律法规及本基金合同的规定制定并公告，并提前</w:t>
            </w:r>
            <w:r>
              <w:rPr>
                <w:rFonts w:asciiTheme="majorEastAsia" w:eastAsiaTheme="majorEastAsia" w:hAnsiTheme="majorEastAsia" w:cs="Arial" w:hint="eastAsia"/>
                <w:kern w:val="2"/>
                <w:sz w:val="20"/>
                <w:szCs w:val="22"/>
              </w:rPr>
              <w:t>在合理时间内</w:t>
            </w:r>
            <w:r>
              <w:rPr>
                <w:rFonts w:asciiTheme="majorEastAsia" w:eastAsiaTheme="majorEastAsia" w:hAnsiTheme="majorEastAsia" w:cs="Arial"/>
                <w:kern w:val="2"/>
                <w:sz w:val="20"/>
                <w:szCs w:val="22"/>
              </w:rPr>
              <w:t>告知基金托管人与相关机构。</w:t>
            </w:r>
          </w:p>
        </w:tc>
      </w:tr>
      <w:tr w:rsidR="00BF392E">
        <w:trPr>
          <w:trHeight w:val="2212"/>
        </w:trPr>
        <w:tc>
          <w:tcPr>
            <w:tcW w:w="1093" w:type="pct"/>
            <w:vMerge/>
          </w:tcPr>
          <w:p w:rsidR="00BF392E" w:rsidRDefault="00BF392E">
            <w:pPr>
              <w:pStyle w:val="a5"/>
              <w:spacing w:before="41"/>
              <w:rPr>
                <w:rFonts w:asciiTheme="majorEastAsia" w:eastAsiaTheme="majorEastAsia" w:hAnsiTheme="majorEastAsia" w:cs="Arial"/>
                <w:kern w:val="2"/>
                <w:sz w:val="20"/>
                <w:szCs w:val="22"/>
              </w:rPr>
            </w:pPr>
          </w:p>
        </w:tc>
        <w:tc>
          <w:tcPr>
            <w:tcW w:w="1924"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第</w:t>
            </w:r>
            <w:r>
              <w:rPr>
                <w:rFonts w:asciiTheme="majorEastAsia" w:eastAsiaTheme="majorEastAsia" w:hAnsiTheme="majorEastAsia" w:cs="Arial" w:hint="eastAsia"/>
                <w:kern w:val="2"/>
                <w:sz w:val="20"/>
                <w:szCs w:val="22"/>
              </w:rPr>
              <w:t>七</w:t>
            </w:r>
            <w:r>
              <w:rPr>
                <w:rFonts w:asciiTheme="majorEastAsia" w:eastAsiaTheme="majorEastAsia" w:hAnsiTheme="majorEastAsia" w:cs="Arial"/>
                <w:kern w:val="2"/>
                <w:sz w:val="20"/>
                <w:szCs w:val="22"/>
              </w:rPr>
              <w:t>部分  基金合同当事人及权利义务</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一、基金管理人</w:t>
            </w:r>
          </w:p>
          <w:p w:rsidR="00BF392E" w:rsidRDefault="001D7E4D">
            <w:pPr>
              <w:pStyle w:val="a5"/>
              <w:spacing w:before="41"/>
              <w:rPr>
                <w:rFonts w:asciiTheme="majorEastAsia" w:eastAsiaTheme="majorEastAsia" w:hAnsiTheme="majorEastAsia" w:cs="Arial"/>
                <w:kern w:val="2"/>
                <w:sz w:val="20"/>
                <w:szCs w:val="22"/>
              </w:rPr>
            </w:pPr>
            <w:bookmarkStart w:id="20" w:name="_Toc15118235"/>
            <w:r>
              <w:rPr>
                <w:rFonts w:asciiTheme="majorEastAsia" w:eastAsiaTheme="majorEastAsia" w:hAnsiTheme="majorEastAsia" w:cs="Arial"/>
                <w:kern w:val="2"/>
                <w:sz w:val="20"/>
                <w:szCs w:val="22"/>
              </w:rPr>
              <w:t>（一）</w:t>
            </w:r>
            <w:r>
              <w:rPr>
                <w:rFonts w:asciiTheme="majorEastAsia" w:eastAsiaTheme="majorEastAsia" w:hAnsiTheme="majorEastAsia" w:cs="Arial"/>
                <w:kern w:val="2"/>
                <w:sz w:val="20"/>
                <w:szCs w:val="22"/>
              </w:rPr>
              <w:tab/>
              <w:t>基金管理人简况</w:t>
            </w:r>
            <w:bookmarkEnd w:id="20"/>
          </w:p>
          <w:p w:rsidR="00BF392E" w:rsidRDefault="001D7E4D">
            <w:pPr>
              <w:pStyle w:val="a5"/>
              <w:spacing w:before="41"/>
              <w:rPr>
                <w:rFonts w:asciiTheme="majorEastAsia" w:eastAsiaTheme="majorEastAsia" w:hAnsiTheme="majorEastAsia" w:cs="Arial"/>
                <w:kern w:val="2"/>
                <w:sz w:val="20"/>
                <w:szCs w:val="22"/>
              </w:rPr>
            </w:pPr>
            <w:bookmarkStart w:id="21" w:name="_Toc15118236"/>
            <w:r>
              <w:rPr>
                <w:rFonts w:asciiTheme="majorEastAsia" w:eastAsiaTheme="majorEastAsia" w:hAnsiTheme="majorEastAsia" w:cs="Arial" w:hint="eastAsia"/>
                <w:kern w:val="2"/>
                <w:sz w:val="20"/>
                <w:szCs w:val="22"/>
              </w:rPr>
              <w:t>名称：大成基金管理有限公司</w:t>
            </w:r>
          </w:p>
          <w:p w:rsidR="00BF392E" w:rsidRDefault="001D7E4D">
            <w:pPr>
              <w:pStyle w:val="a5"/>
              <w:spacing w:before="41"/>
              <w:rPr>
                <w:rFonts w:asciiTheme="majorEastAsia" w:eastAsiaTheme="majorEastAsia" w:hAnsiTheme="majorEastAsia" w:cs="Arial"/>
                <w:b/>
                <w:strike/>
                <w:kern w:val="2"/>
                <w:sz w:val="20"/>
                <w:szCs w:val="22"/>
              </w:rPr>
            </w:pPr>
            <w:r>
              <w:rPr>
                <w:rFonts w:asciiTheme="majorEastAsia" w:eastAsiaTheme="majorEastAsia" w:hAnsiTheme="majorEastAsia" w:cs="Arial" w:hint="eastAsia"/>
                <w:kern w:val="2"/>
                <w:sz w:val="20"/>
                <w:szCs w:val="22"/>
              </w:rPr>
              <w:t>住所：</w:t>
            </w:r>
            <w:r>
              <w:rPr>
                <w:rFonts w:asciiTheme="majorEastAsia" w:eastAsiaTheme="majorEastAsia" w:hAnsiTheme="majorEastAsia" w:cs="Arial" w:hint="eastAsia"/>
                <w:b/>
                <w:strike/>
                <w:kern w:val="2"/>
                <w:sz w:val="20"/>
                <w:szCs w:val="22"/>
              </w:rPr>
              <w:t>深圳市福田区深南大道7088号招商银行大厦32层</w:t>
            </w:r>
          </w:p>
          <w:p w:rsidR="00BF392E" w:rsidRDefault="001D7E4D">
            <w:pPr>
              <w:pStyle w:val="a5"/>
              <w:spacing w:before="41"/>
              <w:rPr>
                <w:rFonts w:asciiTheme="majorEastAsia" w:eastAsiaTheme="majorEastAsia" w:hAnsiTheme="majorEastAsia" w:cs="Arial"/>
                <w:sz w:val="20"/>
              </w:rPr>
            </w:pPr>
            <w:r>
              <w:rPr>
                <w:rFonts w:asciiTheme="majorEastAsia" w:eastAsiaTheme="majorEastAsia" w:hAnsiTheme="majorEastAsia" w:cs="Arial"/>
                <w:kern w:val="2"/>
                <w:sz w:val="20"/>
                <w:szCs w:val="22"/>
              </w:rPr>
              <w:t>……</w:t>
            </w:r>
            <w:bookmarkEnd w:id="21"/>
          </w:p>
        </w:tc>
        <w:tc>
          <w:tcPr>
            <w:tcW w:w="1983"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第</w:t>
            </w:r>
            <w:r>
              <w:rPr>
                <w:rFonts w:asciiTheme="majorEastAsia" w:eastAsiaTheme="majorEastAsia" w:hAnsiTheme="majorEastAsia" w:cs="Arial" w:hint="eastAsia"/>
                <w:kern w:val="2"/>
                <w:sz w:val="20"/>
                <w:szCs w:val="22"/>
              </w:rPr>
              <w:t>七</w:t>
            </w:r>
            <w:r>
              <w:rPr>
                <w:rFonts w:asciiTheme="majorEastAsia" w:eastAsiaTheme="majorEastAsia" w:hAnsiTheme="majorEastAsia" w:cs="Arial"/>
                <w:kern w:val="2"/>
                <w:sz w:val="20"/>
                <w:szCs w:val="22"/>
              </w:rPr>
              <w:t>部分  基金合同当事人及权利义务</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一、基金管理人</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（一）</w:t>
            </w:r>
            <w:r>
              <w:rPr>
                <w:rFonts w:asciiTheme="majorEastAsia" w:eastAsiaTheme="majorEastAsia" w:hAnsiTheme="majorEastAsia" w:cs="Arial"/>
                <w:kern w:val="2"/>
                <w:sz w:val="20"/>
                <w:szCs w:val="22"/>
              </w:rPr>
              <w:tab/>
              <w:t>基金管理人简况</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名称：大成基金管理有限公司</w:t>
            </w:r>
          </w:p>
          <w:p w:rsidR="00BF392E" w:rsidRDefault="001D7E4D">
            <w:pPr>
              <w:pStyle w:val="a5"/>
              <w:spacing w:before="41"/>
              <w:rPr>
                <w:rFonts w:asciiTheme="majorEastAsia" w:eastAsiaTheme="majorEastAsia" w:hAnsiTheme="majorEastAsia" w:cs="Arial"/>
                <w:b/>
                <w:kern w:val="2"/>
                <w:sz w:val="20"/>
                <w:szCs w:val="22"/>
              </w:rPr>
            </w:pPr>
            <w:r>
              <w:rPr>
                <w:rFonts w:asciiTheme="majorEastAsia" w:eastAsiaTheme="majorEastAsia" w:hAnsiTheme="majorEastAsia" w:cs="Arial" w:hint="eastAsia"/>
                <w:kern w:val="2"/>
                <w:sz w:val="20"/>
                <w:szCs w:val="22"/>
              </w:rPr>
              <w:t>住所：</w:t>
            </w:r>
            <w:r>
              <w:rPr>
                <w:rFonts w:asciiTheme="majorEastAsia" w:eastAsiaTheme="majorEastAsia" w:hAnsiTheme="majorEastAsia" w:cs="Arial" w:hint="eastAsia"/>
                <w:b/>
                <w:kern w:val="2"/>
                <w:sz w:val="20"/>
                <w:szCs w:val="22"/>
              </w:rPr>
              <w:t>广东省深圳市南山区海德三道</w:t>
            </w:r>
            <w:r>
              <w:rPr>
                <w:rFonts w:asciiTheme="majorEastAsia" w:eastAsiaTheme="majorEastAsia" w:hAnsiTheme="majorEastAsia" w:cs="Arial"/>
                <w:b/>
                <w:kern w:val="2"/>
                <w:sz w:val="20"/>
                <w:szCs w:val="22"/>
              </w:rPr>
              <w:t>1236</w:t>
            </w:r>
            <w:r>
              <w:rPr>
                <w:rFonts w:asciiTheme="majorEastAsia" w:eastAsiaTheme="majorEastAsia" w:hAnsiTheme="majorEastAsia" w:cs="Arial" w:hint="eastAsia"/>
                <w:b/>
                <w:kern w:val="2"/>
                <w:sz w:val="20"/>
                <w:szCs w:val="22"/>
              </w:rPr>
              <w:t>号大成基金总部大厦</w:t>
            </w:r>
            <w:r>
              <w:rPr>
                <w:rFonts w:asciiTheme="majorEastAsia" w:eastAsiaTheme="majorEastAsia" w:hAnsiTheme="majorEastAsia" w:cs="Arial"/>
                <w:b/>
                <w:kern w:val="2"/>
                <w:sz w:val="20"/>
                <w:szCs w:val="22"/>
              </w:rPr>
              <w:t>5</w:t>
            </w:r>
            <w:r>
              <w:rPr>
                <w:rFonts w:asciiTheme="majorEastAsia" w:eastAsiaTheme="majorEastAsia" w:hAnsiTheme="majorEastAsia" w:cs="Arial" w:hint="eastAsia"/>
                <w:b/>
                <w:kern w:val="2"/>
                <w:sz w:val="20"/>
                <w:szCs w:val="22"/>
              </w:rPr>
              <w:t>层、</w:t>
            </w:r>
            <w:r>
              <w:rPr>
                <w:rFonts w:asciiTheme="majorEastAsia" w:eastAsiaTheme="majorEastAsia" w:hAnsiTheme="majorEastAsia" w:cs="Arial"/>
                <w:b/>
                <w:kern w:val="2"/>
                <w:sz w:val="20"/>
                <w:szCs w:val="22"/>
              </w:rPr>
              <w:t>27-33</w:t>
            </w:r>
            <w:r>
              <w:rPr>
                <w:rFonts w:asciiTheme="majorEastAsia" w:eastAsiaTheme="majorEastAsia" w:hAnsiTheme="majorEastAsia" w:cs="Arial" w:hint="eastAsia"/>
                <w:b/>
                <w:kern w:val="2"/>
                <w:sz w:val="20"/>
                <w:szCs w:val="22"/>
              </w:rPr>
              <w:t>层</w:t>
            </w:r>
          </w:p>
          <w:p w:rsidR="00BF392E" w:rsidRDefault="001D7E4D">
            <w:pPr>
              <w:rPr>
                <w:rFonts w:asciiTheme="majorEastAsia" w:eastAsiaTheme="majorEastAsia" w:hAnsiTheme="majorEastAsia" w:cs="Arial"/>
                <w:kern w:val="2"/>
                <w:sz w:val="20"/>
              </w:rPr>
            </w:pPr>
            <w:r>
              <w:rPr>
                <w:rFonts w:asciiTheme="majorEastAsia" w:eastAsiaTheme="majorEastAsia" w:hAnsiTheme="majorEastAsia" w:cs="Arial"/>
                <w:kern w:val="2"/>
                <w:sz w:val="20"/>
              </w:rPr>
              <w:t>……</w:t>
            </w:r>
          </w:p>
        </w:tc>
      </w:tr>
      <w:tr w:rsidR="00BF392E">
        <w:trPr>
          <w:trHeight w:val="2116"/>
        </w:trPr>
        <w:tc>
          <w:tcPr>
            <w:tcW w:w="1093" w:type="pct"/>
            <w:vMerge w:val="restar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大</w:t>
            </w:r>
            <w:r>
              <w:rPr>
                <w:rFonts w:asciiTheme="majorEastAsia" w:eastAsiaTheme="majorEastAsia" w:hAnsiTheme="majorEastAsia" w:cs="Arial"/>
                <w:kern w:val="2"/>
                <w:sz w:val="20"/>
                <w:szCs w:val="22"/>
              </w:rPr>
              <w:t>成企业能力驱动混合型证券投资基金</w:t>
            </w:r>
          </w:p>
        </w:tc>
        <w:tc>
          <w:tcPr>
            <w:tcW w:w="1924"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 xml:space="preserve">第二部分 </w:t>
            </w:r>
            <w:r>
              <w:rPr>
                <w:rFonts w:asciiTheme="majorEastAsia" w:eastAsiaTheme="majorEastAsia" w:hAnsiTheme="majorEastAsia" w:cs="Arial"/>
                <w:kern w:val="2"/>
                <w:sz w:val="20"/>
                <w:szCs w:val="22"/>
              </w:rPr>
              <w:t xml:space="preserve"> 释  义</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43、</w:t>
            </w:r>
            <w:r>
              <w:rPr>
                <w:rFonts w:asciiTheme="majorEastAsia" w:eastAsiaTheme="majorEastAsia" w:hAnsiTheme="majorEastAsia" w:cs="Arial"/>
                <w:kern w:val="2"/>
                <w:sz w:val="20"/>
                <w:szCs w:val="22"/>
              </w:rPr>
              <w:t>基金转换：指基金份额持有人按照本基金合同和基金管理人届时有效公告规定的条件，申请将其持有基金管理人管理的、某一基金的基金份额转换为基金管理人管理的其他</w:t>
            </w:r>
            <w:r>
              <w:rPr>
                <w:rFonts w:asciiTheme="majorEastAsia" w:eastAsiaTheme="majorEastAsia" w:hAnsiTheme="majorEastAsia" w:cs="Arial"/>
                <w:b/>
                <w:strike/>
                <w:kern w:val="2"/>
                <w:sz w:val="20"/>
                <w:szCs w:val="22"/>
              </w:rPr>
              <w:t>基金</w:t>
            </w:r>
            <w:r>
              <w:rPr>
                <w:rFonts w:asciiTheme="majorEastAsia" w:eastAsiaTheme="majorEastAsia" w:hAnsiTheme="majorEastAsia" w:cs="Arial"/>
                <w:kern w:val="2"/>
                <w:sz w:val="20"/>
                <w:szCs w:val="22"/>
              </w:rPr>
              <w:t>基金份额的行为</w:t>
            </w:r>
          </w:p>
        </w:tc>
        <w:tc>
          <w:tcPr>
            <w:tcW w:w="1983"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 xml:space="preserve">第二部分 </w:t>
            </w:r>
            <w:r>
              <w:rPr>
                <w:rFonts w:asciiTheme="majorEastAsia" w:eastAsiaTheme="majorEastAsia" w:hAnsiTheme="majorEastAsia" w:cs="Arial"/>
                <w:kern w:val="2"/>
                <w:sz w:val="20"/>
                <w:szCs w:val="22"/>
              </w:rPr>
              <w:t xml:space="preserve"> 释  义</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43、</w:t>
            </w:r>
            <w:r>
              <w:rPr>
                <w:rFonts w:asciiTheme="majorEastAsia" w:eastAsiaTheme="majorEastAsia" w:hAnsiTheme="majorEastAsia" w:cs="Arial"/>
                <w:kern w:val="2"/>
                <w:sz w:val="20"/>
                <w:szCs w:val="22"/>
              </w:rPr>
              <w:t>基金转换：指基金份额持有人按照本基金合同和基金管理人届时有效公告规定的条件，申请将其持有基金管理人管理的、某一基金的基金份额转换为基金管理人管理的其他基金份额的行为</w:t>
            </w:r>
          </w:p>
        </w:tc>
      </w:tr>
      <w:tr w:rsidR="00BF392E">
        <w:trPr>
          <w:trHeight w:val="2116"/>
        </w:trPr>
        <w:tc>
          <w:tcPr>
            <w:tcW w:w="1093" w:type="pct"/>
            <w:vMerge/>
          </w:tcPr>
          <w:p w:rsidR="00BF392E" w:rsidRDefault="00BF392E">
            <w:pPr>
              <w:pStyle w:val="a5"/>
              <w:spacing w:before="41"/>
              <w:rPr>
                <w:rFonts w:asciiTheme="majorEastAsia" w:eastAsiaTheme="majorEastAsia" w:hAnsiTheme="majorEastAsia" w:cs="Arial"/>
                <w:kern w:val="2"/>
                <w:sz w:val="20"/>
                <w:szCs w:val="22"/>
              </w:rPr>
            </w:pPr>
          </w:p>
        </w:tc>
        <w:tc>
          <w:tcPr>
            <w:tcW w:w="1924"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第三部分 基金的基本情况</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八、</w:t>
            </w:r>
            <w:r>
              <w:rPr>
                <w:rFonts w:asciiTheme="majorEastAsia" w:eastAsiaTheme="majorEastAsia" w:hAnsiTheme="majorEastAsia" w:cs="Arial" w:hint="eastAsia"/>
                <w:kern w:val="2"/>
                <w:sz w:val="20"/>
                <w:szCs w:val="22"/>
              </w:rPr>
              <w:t>基金份额类别</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本基金A类和C类基金份额分别设置代码。</w:t>
            </w:r>
            <w:r>
              <w:rPr>
                <w:rFonts w:asciiTheme="majorEastAsia" w:eastAsiaTheme="majorEastAsia" w:hAnsiTheme="majorEastAsia" w:cs="Arial" w:hint="eastAsia"/>
                <w:b/>
                <w:strike/>
                <w:kern w:val="2"/>
                <w:sz w:val="20"/>
                <w:szCs w:val="22"/>
              </w:rPr>
              <w:t>两类份额之间不能转换。</w:t>
            </w:r>
            <w:r>
              <w:rPr>
                <w:rFonts w:asciiTheme="majorEastAsia" w:eastAsiaTheme="majorEastAsia" w:hAnsiTheme="majorEastAsia" w:cs="Arial" w:hint="eastAsia"/>
                <w:kern w:val="2"/>
                <w:sz w:val="20"/>
                <w:szCs w:val="22"/>
              </w:rPr>
              <w:t>由于基金费用的不同，本基金A类基金份额和C类基金份额将分别计算基金份额净值，计算公式为计算日各类别基金资产净值除以计算日该类别基金份额总数。</w:t>
            </w:r>
          </w:p>
        </w:tc>
        <w:tc>
          <w:tcPr>
            <w:tcW w:w="1983"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第三部分 基金的基本情况</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八、</w:t>
            </w:r>
            <w:r>
              <w:rPr>
                <w:rFonts w:asciiTheme="majorEastAsia" w:eastAsiaTheme="majorEastAsia" w:hAnsiTheme="majorEastAsia" w:cs="Arial" w:hint="eastAsia"/>
                <w:kern w:val="2"/>
                <w:sz w:val="20"/>
                <w:szCs w:val="22"/>
              </w:rPr>
              <w:t>基金份额类别</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本基金A类和C类基金份额分别设置代码。由于基金费用的不同，本基金A类基金份额和C类基金份额将分别计算基金份额净值，计算公式为计算日各类别基金资产净值除以计算日该类别基金份额总数。</w:t>
            </w:r>
          </w:p>
        </w:tc>
      </w:tr>
      <w:tr w:rsidR="00BF392E">
        <w:trPr>
          <w:trHeight w:val="2116"/>
        </w:trPr>
        <w:tc>
          <w:tcPr>
            <w:tcW w:w="1093" w:type="pct"/>
            <w:vMerge/>
          </w:tcPr>
          <w:p w:rsidR="00BF392E" w:rsidRDefault="00BF392E">
            <w:pPr>
              <w:pStyle w:val="a5"/>
              <w:spacing w:before="41"/>
              <w:rPr>
                <w:rFonts w:asciiTheme="majorEastAsia" w:eastAsiaTheme="majorEastAsia" w:hAnsiTheme="majorEastAsia" w:cs="Arial"/>
                <w:kern w:val="2"/>
                <w:sz w:val="20"/>
                <w:szCs w:val="22"/>
              </w:rPr>
            </w:pPr>
          </w:p>
        </w:tc>
        <w:tc>
          <w:tcPr>
            <w:tcW w:w="1924"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第</w:t>
            </w:r>
            <w:r>
              <w:rPr>
                <w:rFonts w:asciiTheme="majorEastAsia" w:eastAsiaTheme="majorEastAsia" w:hAnsiTheme="majorEastAsia" w:cs="Arial" w:hint="eastAsia"/>
                <w:kern w:val="2"/>
                <w:sz w:val="20"/>
                <w:szCs w:val="22"/>
              </w:rPr>
              <w:t>六</w:t>
            </w:r>
            <w:r>
              <w:rPr>
                <w:rFonts w:asciiTheme="majorEastAsia" w:eastAsiaTheme="majorEastAsia" w:hAnsiTheme="majorEastAsia" w:cs="Arial"/>
                <w:kern w:val="2"/>
                <w:sz w:val="20"/>
                <w:szCs w:val="22"/>
              </w:rPr>
              <w:t>部分  基金份额的申购与赎回</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十一</w:t>
            </w:r>
            <w:r>
              <w:rPr>
                <w:rFonts w:asciiTheme="majorEastAsia" w:eastAsiaTheme="majorEastAsia" w:hAnsiTheme="majorEastAsia" w:cs="Arial" w:hint="eastAsia"/>
                <w:kern w:val="2"/>
                <w:sz w:val="20"/>
                <w:szCs w:val="22"/>
              </w:rPr>
              <w:t>、</w:t>
            </w:r>
            <w:r>
              <w:rPr>
                <w:rFonts w:asciiTheme="majorEastAsia" w:eastAsiaTheme="majorEastAsia" w:hAnsiTheme="majorEastAsia" w:cs="Arial"/>
                <w:kern w:val="2"/>
                <w:sz w:val="20"/>
                <w:szCs w:val="22"/>
              </w:rPr>
              <w:t>基金转换</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基金管理人可以根据相关法律法规以及本基金合同的规定决定开办本基金</w:t>
            </w:r>
            <w:r>
              <w:rPr>
                <w:rFonts w:asciiTheme="majorEastAsia" w:eastAsiaTheme="majorEastAsia" w:hAnsiTheme="majorEastAsia" w:cs="Arial"/>
                <w:b/>
                <w:strike/>
                <w:kern w:val="2"/>
                <w:sz w:val="20"/>
                <w:szCs w:val="22"/>
              </w:rPr>
              <w:t>与基金管理人管理的其他基金之间</w:t>
            </w:r>
            <w:r>
              <w:rPr>
                <w:rFonts w:asciiTheme="majorEastAsia" w:eastAsiaTheme="majorEastAsia" w:hAnsiTheme="majorEastAsia" w:cs="Arial"/>
                <w:kern w:val="2"/>
                <w:sz w:val="20"/>
                <w:szCs w:val="22"/>
              </w:rPr>
              <w:t>的转换业务，基金转换可以收取一定的转换费，相关规则由基金管理人届时根据相关法律法规及本基金合同的规定制定并公告，并提前告知基金托管人与相关机构。</w:t>
            </w:r>
          </w:p>
        </w:tc>
        <w:tc>
          <w:tcPr>
            <w:tcW w:w="1983"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第</w:t>
            </w:r>
            <w:r>
              <w:rPr>
                <w:rFonts w:asciiTheme="majorEastAsia" w:eastAsiaTheme="majorEastAsia" w:hAnsiTheme="majorEastAsia" w:cs="Arial" w:hint="eastAsia"/>
                <w:kern w:val="2"/>
                <w:sz w:val="20"/>
                <w:szCs w:val="22"/>
              </w:rPr>
              <w:t>六</w:t>
            </w:r>
            <w:r>
              <w:rPr>
                <w:rFonts w:asciiTheme="majorEastAsia" w:eastAsiaTheme="majorEastAsia" w:hAnsiTheme="majorEastAsia" w:cs="Arial"/>
                <w:kern w:val="2"/>
                <w:sz w:val="20"/>
                <w:szCs w:val="22"/>
              </w:rPr>
              <w:t>部分  基金份额的申购与赎回</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十一</w:t>
            </w:r>
            <w:r>
              <w:rPr>
                <w:rFonts w:asciiTheme="majorEastAsia" w:eastAsiaTheme="majorEastAsia" w:hAnsiTheme="majorEastAsia" w:cs="Arial" w:hint="eastAsia"/>
                <w:kern w:val="2"/>
                <w:sz w:val="20"/>
                <w:szCs w:val="22"/>
              </w:rPr>
              <w:t>、</w:t>
            </w:r>
            <w:r>
              <w:rPr>
                <w:rFonts w:asciiTheme="majorEastAsia" w:eastAsiaTheme="majorEastAsia" w:hAnsiTheme="majorEastAsia" w:cs="Arial"/>
                <w:kern w:val="2"/>
                <w:sz w:val="20"/>
                <w:szCs w:val="22"/>
              </w:rPr>
              <w:t>基金转换</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基金管理人可以根据相关法律法规以及本基金合同的规定决定开办本基金的转换业务，基金转换可以收取一定的转换费，相关规则由基金管理人届时根据相关法律法规及本基金合同的规定制定并公告，并提前告知基金托管人与相关机构。</w:t>
            </w:r>
          </w:p>
        </w:tc>
      </w:tr>
      <w:tr w:rsidR="00BF392E">
        <w:trPr>
          <w:trHeight w:val="2116"/>
        </w:trPr>
        <w:tc>
          <w:tcPr>
            <w:tcW w:w="1093" w:type="pct"/>
            <w:vMerge/>
          </w:tcPr>
          <w:p w:rsidR="00BF392E" w:rsidRDefault="00BF392E">
            <w:pPr>
              <w:pStyle w:val="a5"/>
              <w:spacing w:before="41"/>
              <w:rPr>
                <w:rFonts w:asciiTheme="majorEastAsia" w:eastAsiaTheme="majorEastAsia" w:hAnsiTheme="majorEastAsia" w:cs="Arial"/>
                <w:kern w:val="2"/>
                <w:sz w:val="20"/>
                <w:szCs w:val="22"/>
              </w:rPr>
            </w:pPr>
          </w:p>
        </w:tc>
        <w:tc>
          <w:tcPr>
            <w:tcW w:w="1924"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第</w:t>
            </w:r>
            <w:r>
              <w:rPr>
                <w:rFonts w:asciiTheme="majorEastAsia" w:eastAsiaTheme="majorEastAsia" w:hAnsiTheme="majorEastAsia" w:cs="Arial" w:hint="eastAsia"/>
                <w:kern w:val="2"/>
                <w:sz w:val="20"/>
                <w:szCs w:val="22"/>
              </w:rPr>
              <w:t>七</w:t>
            </w:r>
            <w:r>
              <w:rPr>
                <w:rFonts w:asciiTheme="majorEastAsia" w:eastAsiaTheme="majorEastAsia" w:hAnsiTheme="majorEastAsia" w:cs="Arial"/>
                <w:kern w:val="2"/>
                <w:sz w:val="20"/>
                <w:szCs w:val="22"/>
              </w:rPr>
              <w:t>部分  基金合同当事人及权利义务</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一、基金管理人</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（一）</w:t>
            </w:r>
            <w:r>
              <w:rPr>
                <w:rFonts w:asciiTheme="majorEastAsia" w:eastAsiaTheme="majorEastAsia" w:hAnsiTheme="majorEastAsia" w:cs="Arial"/>
                <w:kern w:val="2"/>
                <w:sz w:val="20"/>
                <w:szCs w:val="22"/>
              </w:rPr>
              <w:tab/>
              <w:t>基金管理人简况</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名称：大成基金管理有限公司</w:t>
            </w:r>
          </w:p>
          <w:p w:rsidR="00BF392E" w:rsidRDefault="001D7E4D">
            <w:pPr>
              <w:pStyle w:val="a5"/>
              <w:spacing w:before="41"/>
              <w:rPr>
                <w:rFonts w:asciiTheme="majorEastAsia" w:eastAsiaTheme="majorEastAsia" w:hAnsiTheme="majorEastAsia" w:cs="Arial"/>
                <w:b/>
                <w:strike/>
                <w:kern w:val="2"/>
                <w:sz w:val="20"/>
                <w:szCs w:val="22"/>
              </w:rPr>
            </w:pPr>
            <w:r>
              <w:rPr>
                <w:rFonts w:asciiTheme="majorEastAsia" w:eastAsiaTheme="majorEastAsia" w:hAnsiTheme="majorEastAsia" w:cs="Arial" w:hint="eastAsia"/>
                <w:kern w:val="2"/>
                <w:sz w:val="20"/>
                <w:szCs w:val="22"/>
              </w:rPr>
              <w:t>住所：</w:t>
            </w:r>
            <w:r>
              <w:rPr>
                <w:rFonts w:asciiTheme="majorEastAsia" w:eastAsiaTheme="majorEastAsia" w:hAnsiTheme="majorEastAsia" w:cs="Arial" w:hint="eastAsia"/>
                <w:b/>
                <w:strike/>
                <w:kern w:val="2"/>
                <w:sz w:val="20"/>
                <w:szCs w:val="22"/>
              </w:rPr>
              <w:t>深圳市福田区深南大道7088号招商银行大厦32层</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w:t>
            </w:r>
          </w:p>
          <w:p w:rsidR="00BF392E" w:rsidRDefault="001D7E4D">
            <w:pPr>
              <w:pStyle w:val="a5"/>
              <w:spacing w:before="41"/>
              <w:rPr>
                <w:rFonts w:asciiTheme="majorEastAsia" w:eastAsiaTheme="majorEastAsia" w:hAnsiTheme="majorEastAsia" w:cs="Arial"/>
                <w:kern w:val="2"/>
                <w:sz w:val="20"/>
                <w:szCs w:val="22"/>
              </w:rPr>
            </w:pPr>
            <w:bookmarkStart w:id="22" w:name="_Toc15118238"/>
            <w:bookmarkStart w:id="23" w:name="_Toc79392581"/>
            <w:bookmarkStart w:id="24" w:name="_Toc57530240"/>
            <w:r>
              <w:rPr>
                <w:rFonts w:asciiTheme="majorEastAsia" w:eastAsiaTheme="majorEastAsia" w:hAnsiTheme="majorEastAsia" w:cs="Arial"/>
                <w:kern w:val="2"/>
                <w:sz w:val="20"/>
                <w:szCs w:val="22"/>
              </w:rPr>
              <w:t>二、基金托管人</w:t>
            </w:r>
            <w:bookmarkEnd w:id="22"/>
            <w:bookmarkEnd w:id="23"/>
            <w:bookmarkEnd w:id="24"/>
          </w:p>
          <w:p w:rsidR="00BF392E" w:rsidRDefault="001D7E4D">
            <w:pPr>
              <w:pStyle w:val="a5"/>
              <w:spacing w:before="41"/>
              <w:rPr>
                <w:rFonts w:asciiTheme="majorEastAsia" w:eastAsiaTheme="majorEastAsia" w:hAnsiTheme="majorEastAsia" w:cs="Arial"/>
                <w:kern w:val="2"/>
                <w:sz w:val="20"/>
                <w:szCs w:val="22"/>
              </w:rPr>
            </w:pPr>
            <w:bookmarkStart w:id="25" w:name="_Toc15118239"/>
            <w:r>
              <w:rPr>
                <w:rFonts w:asciiTheme="majorEastAsia" w:eastAsiaTheme="majorEastAsia" w:hAnsiTheme="majorEastAsia" w:cs="Arial"/>
                <w:kern w:val="2"/>
                <w:sz w:val="20"/>
                <w:szCs w:val="22"/>
              </w:rPr>
              <w:t>（一）</w:t>
            </w:r>
            <w:r>
              <w:rPr>
                <w:rFonts w:asciiTheme="majorEastAsia" w:eastAsiaTheme="majorEastAsia" w:hAnsiTheme="majorEastAsia" w:cs="Arial"/>
                <w:kern w:val="2"/>
                <w:sz w:val="20"/>
                <w:szCs w:val="22"/>
              </w:rPr>
              <w:tab/>
              <w:t>基金托管人简况</w:t>
            </w:r>
            <w:bookmarkEnd w:id="25"/>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名称：中国农业银行股份有限公司</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注册地址：北京市东城区建国门内大街</w:t>
            </w:r>
            <w:r>
              <w:rPr>
                <w:rFonts w:asciiTheme="majorEastAsia" w:eastAsiaTheme="majorEastAsia" w:hAnsiTheme="majorEastAsia" w:cs="Arial"/>
                <w:kern w:val="2"/>
                <w:sz w:val="20"/>
                <w:szCs w:val="22"/>
              </w:rPr>
              <w:t>69</w:t>
            </w:r>
            <w:r>
              <w:rPr>
                <w:rFonts w:asciiTheme="majorEastAsia" w:eastAsiaTheme="majorEastAsia" w:hAnsiTheme="majorEastAsia" w:cs="Arial" w:hint="eastAsia"/>
                <w:kern w:val="2"/>
                <w:sz w:val="20"/>
                <w:szCs w:val="22"/>
              </w:rPr>
              <w:t>号</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办公地址：北京市西城区复兴门内大街</w:t>
            </w:r>
            <w:r>
              <w:rPr>
                <w:rFonts w:asciiTheme="majorEastAsia" w:eastAsiaTheme="majorEastAsia" w:hAnsiTheme="majorEastAsia" w:cs="Arial"/>
                <w:kern w:val="2"/>
                <w:sz w:val="20"/>
                <w:szCs w:val="22"/>
              </w:rPr>
              <w:t>28</w:t>
            </w:r>
            <w:r>
              <w:rPr>
                <w:rFonts w:asciiTheme="majorEastAsia" w:eastAsiaTheme="majorEastAsia" w:hAnsiTheme="majorEastAsia" w:cs="Arial" w:hint="eastAsia"/>
                <w:kern w:val="2"/>
                <w:sz w:val="20"/>
                <w:szCs w:val="22"/>
              </w:rPr>
              <w:t>号凯晨世贸中心东座九层</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邮政编码：</w:t>
            </w:r>
            <w:r>
              <w:rPr>
                <w:rFonts w:asciiTheme="majorEastAsia" w:eastAsiaTheme="majorEastAsia" w:hAnsiTheme="majorEastAsia" w:cs="Arial"/>
                <w:kern w:val="2"/>
                <w:sz w:val="20"/>
                <w:szCs w:val="22"/>
              </w:rPr>
              <w:t>100031</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法定代表人：</w:t>
            </w:r>
            <w:r>
              <w:rPr>
                <w:rFonts w:asciiTheme="majorEastAsia" w:eastAsiaTheme="majorEastAsia" w:hAnsiTheme="majorEastAsia" w:cs="Arial" w:hint="eastAsia"/>
                <w:b/>
                <w:strike/>
                <w:kern w:val="2"/>
                <w:sz w:val="20"/>
                <w:szCs w:val="22"/>
              </w:rPr>
              <w:t>周慕冰</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w:t>
            </w:r>
          </w:p>
        </w:tc>
        <w:tc>
          <w:tcPr>
            <w:tcW w:w="1983"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第</w:t>
            </w:r>
            <w:r>
              <w:rPr>
                <w:rFonts w:asciiTheme="majorEastAsia" w:eastAsiaTheme="majorEastAsia" w:hAnsiTheme="majorEastAsia" w:cs="Arial" w:hint="eastAsia"/>
                <w:kern w:val="2"/>
                <w:sz w:val="20"/>
                <w:szCs w:val="22"/>
              </w:rPr>
              <w:t>七</w:t>
            </w:r>
            <w:r>
              <w:rPr>
                <w:rFonts w:asciiTheme="majorEastAsia" w:eastAsiaTheme="majorEastAsia" w:hAnsiTheme="majorEastAsia" w:cs="Arial"/>
                <w:kern w:val="2"/>
                <w:sz w:val="20"/>
                <w:szCs w:val="22"/>
              </w:rPr>
              <w:t>部分  基金合同当事人及权利义务</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一、基金管理人</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（一）</w:t>
            </w:r>
            <w:r>
              <w:rPr>
                <w:rFonts w:asciiTheme="majorEastAsia" w:eastAsiaTheme="majorEastAsia" w:hAnsiTheme="majorEastAsia" w:cs="Arial"/>
                <w:kern w:val="2"/>
                <w:sz w:val="20"/>
                <w:szCs w:val="22"/>
              </w:rPr>
              <w:tab/>
              <w:t>基金管理人简况</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名称：大成基金管理有限公司</w:t>
            </w:r>
          </w:p>
          <w:p w:rsidR="00BF392E" w:rsidRDefault="001D7E4D">
            <w:pPr>
              <w:pStyle w:val="a5"/>
              <w:spacing w:before="41"/>
              <w:rPr>
                <w:rFonts w:asciiTheme="majorEastAsia" w:eastAsiaTheme="majorEastAsia" w:hAnsiTheme="majorEastAsia" w:cs="Arial"/>
                <w:b/>
                <w:kern w:val="2"/>
                <w:sz w:val="20"/>
                <w:szCs w:val="22"/>
              </w:rPr>
            </w:pPr>
            <w:r>
              <w:rPr>
                <w:rFonts w:asciiTheme="majorEastAsia" w:eastAsiaTheme="majorEastAsia" w:hAnsiTheme="majorEastAsia" w:cs="Arial" w:hint="eastAsia"/>
                <w:kern w:val="2"/>
                <w:sz w:val="20"/>
                <w:szCs w:val="22"/>
              </w:rPr>
              <w:t>住所：</w:t>
            </w:r>
            <w:r>
              <w:rPr>
                <w:rFonts w:asciiTheme="majorEastAsia" w:eastAsiaTheme="majorEastAsia" w:hAnsiTheme="majorEastAsia" w:cs="Arial" w:hint="eastAsia"/>
                <w:b/>
                <w:kern w:val="2"/>
                <w:sz w:val="20"/>
                <w:szCs w:val="22"/>
              </w:rPr>
              <w:t>广东省深圳市南山区海德三道</w:t>
            </w:r>
            <w:r>
              <w:rPr>
                <w:rFonts w:asciiTheme="majorEastAsia" w:eastAsiaTheme="majorEastAsia" w:hAnsiTheme="majorEastAsia" w:cs="Arial"/>
                <w:b/>
                <w:kern w:val="2"/>
                <w:sz w:val="20"/>
                <w:szCs w:val="22"/>
              </w:rPr>
              <w:t>1236</w:t>
            </w:r>
            <w:r>
              <w:rPr>
                <w:rFonts w:asciiTheme="majorEastAsia" w:eastAsiaTheme="majorEastAsia" w:hAnsiTheme="majorEastAsia" w:cs="Arial" w:hint="eastAsia"/>
                <w:b/>
                <w:kern w:val="2"/>
                <w:sz w:val="20"/>
                <w:szCs w:val="22"/>
              </w:rPr>
              <w:t>号大成基金总部大厦</w:t>
            </w:r>
            <w:r>
              <w:rPr>
                <w:rFonts w:asciiTheme="majorEastAsia" w:eastAsiaTheme="majorEastAsia" w:hAnsiTheme="majorEastAsia" w:cs="Arial"/>
                <w:b/>
                <w:kern w:val="2"/>
                <w:sz w:val="20"/>
                <w:szCs w:val="22"/>
              </w:rPr>
              <w:t>5</w:t>
            </w:r>
            <w:r>
              <w:rPr>
                <w:rFonts w:asciiTheme="majorEastAsia" w:eastAsiaTheme="majorEastAsia" w:hAnsiTheme="majorEastAsia" w:cs="Arial" w:hint="eastAsia"/>
                <w:b/>
                <w:kern w:val="2"/>
                <w:sz w:val="20"/>
                <w:szCs w:val="22"/>
              </w:rPr>
              <w:t>层、</w:t>
            </w:r>
            <w:r>
              <w:rPr>
                <w:rFonts w:asciiTheme="majorEastAsia" w:eastAsiaTheme="majorEastAsia" w:hAnsiTheme="majorEastAsia" w:cs="Arial"/>
                <w:b/>
                <w:kern w:val="2"/>
                <w:sz w:val="20"/>
                <w:szCs w:val="22"/>
              </w:rPr>
              <w:t>27-33</w:t>
            </w:r>
            <w:r>
              <w:rPr>
                <w:rFonts w:asciiTheme="majorEastAsia" w:eastAsiaTheme="majorEastAsia" w:hAnsiTheme="majorEastAsia" w:cs="Arial" w:hint="eastAsia"/>
                <w:b/>
                <w:kern w:val="2"/>
                <w:sz w:val="20"/>
                <w:szCs w:val="22"/>
              </w:rPr>
              <w:t>层</w:t>
            </w:r>
          </w:p>
          <w:p w:rsidR="00BF392E" w:rsidRDefault="001D7E4D">
            <w:pPr>
              <w:pStyle w:val="a5"/>
              <w:spacing w:before="41"/>
              <w:rPr>
                <w:rFonts w:asciiTheme="majorEastAsia" w:eastAsiaTheme="majorEastAsia" w:hAnsiTheme="majorEastAsia" w:cs="Arial"/>
                <w:kern w:val="2"/>
                <w:sz w:val="20"/>
              </w:rPr>
            </w:pPr>
            <w:r>
              <w:rPr>
                <w:rFonts w:asciiTheme="majorEastAsia" w:eastAsiaTheme="majorEastAsia" w:hAnsiTheme="majorEastAsia" w:cs="Arial"/>
                <w:kern w:val="2"/>
                <w:sz w:val="20"/>
              </w:rPr>
              <w:t>……</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二、基金托管人</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（一）</w:t>
            </w:r>
            <w:r>
              <w:rPr>
                <w:rFonts w:asciiTheme="majorEastAsia" w:eastAsiaTheme="majorEastAsia" w:hAnsiTheme="majorEastAsia" w:cs="Arial"/>
                <w:kern w:val="2"/>
                <w:sz w:val="20"/>
                <w:szCs w:val="22"/>
              </w:rPr>
              <w:tab/>
              <w:t>基金托管人简况</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名称：中国农业银行股份有限公司</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注册地址：北京市东城区建国门内大街</w:t>
            </w:r>
            <w:r>
              <w:rPr>
                <w:rFonts w:asciiTheme="majorEastAsia" w:eastAsiaTheme="majorEastAsia" w:hAnsiTheme="majorEastAsia" w:cs="Arial"/>
                <w:kern w:val="2"/>
                <w:sz w:val="20"/>
                <w:szCs w:val="22"/>
              </w:rPr>
              <w:t>69</w:t>
            </w:r>
            <w:r>
              <w:rPr>
                <w:rFonts w:asciiTheme="majorEastAsia" w:eastAsiaTheme="majorEastAsia" w:hAnsiTheme="majorEastAsia" w:cs="Arial" w:hint="eastAsia"/>
                <w:kern w:val="2"/>
                <w:sz w:val="20"/>
                <w:szCs w:val="22"/>
              </w:rPr>
              <w:t>号</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办公地址：北京市西城区复兴门内大街</w:t>
            </w:r>
            <w:r>
              <w:rPr>
                <w:rFonts w:asciiTheme="majorEastAsia" w:eastAsiaTheme="majorEastAsia" w:hAnsiTheme="majorEastAsia" w:cs="Arial"/>
                <w:kern w:val="2"/>
                <w:sz w:val="20"/>
                <w:szCs w:val="22"/>
              </w:rPr>
              <w:t>28</w:t>
            </w:r>
            <w:r>
              <w:rPr>
                <w:rFonts w:asciiTheme="majorEastAsia" w:eastAsiaTheme="majorEastAsia" w:hAnsiTheme="majorEastAsia" w:cs="Arial" w:hint="eastAsia"/>
                <w:kern w:val="2"/>
                <w:sz w:val="20"/>
                <w:szCs w:val="22"/>
              </w:rPr>
              <w:t>号凯晨世贸中心东座九层</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邮政编码：</w:t>
            </w:r>
            <w:r>
              <w:rPr>
                <w:rFonts w:asciiTheme="majorEastAsia" w:eastAsiaTheme="majorEastAsia" w:hAnsiTheme="majorEastAsia" w:cs="Arial"/>
                <w:kern w:val="2"/>
                <w:sz w:val="20"/>
                <w:szCs w:val="22"/>
              </w:rPr>
              <w:t>100031</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法定代表人：</w:t>
            </w:r>
            <w:r>
              <w:rPr>
                <w:rFonts w:asciiTheme="majorEastAsia" w:eastAsiaTheme="majorEastAsia" w:hAnsiTheme="majorEastAsia" w:cs="Arial" w:hint="eastAsia"/>
                <w:b/>
                <w:kern w:val="2"/>
                <w:sz w:val="20"/>
                <w:szCs w:val="22"/>
              </w:rPr>
              <w:t>谷澍</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w:t>
            </w:r>
          </w:p>
        </w:tc>
      </w:tr>
      <w:tr w:rsidR="00BF392E">
        <w:trPr>
          <w:trHeight w:val="2116"/>
        </w:trPr>
        <w:tc>
          <w:tcPr>
            <w:tcW w:w="1093" w:type="pct"/>
            <w:vMerge w:val="restar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大成成长进取混合型证券投资基金</w:t>
            </w:r>
          </w:p>
        </w:tc>
        <w:tc>
          <w:tcPr>
            <w:tcW w:w="1924"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 xml:space="preserve">第二部分 </w:t>
            </w:r>
            <w:r>
              <w:rPr>
                <w:rFonts w:asciiTheme="majorEastAsia" w:eastAsiaTheme="majorEastAsia" w:hAnsiTheme="majorEastAsia" w:cs="Arial"/>
                <w:kern w:val="2"/>
                <w:sz w:val="20"/>
                <w:szCs w:val="22"/>
              </w:rPr>
              <w:t xml:space="preserve"> 释  义</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43、</w:t>
            </w:r>
            <w:r>
              <w:rPr>
                <w:rFonts w:asciiTheme="majorEastAsia" w:eastAsiaTheme="majorEastAsia" w:hAnsiTheme="majorEastAsia" w:cs="Arial"/>
                <w:kern w:val="2"/>
                <w:sz w:val="20"/>
                <w:szCs w:val="22"/>
              </w:rPr>
              <w:t>基金转换：指基金份额持有人按照本基金合同和基金管理人届时有效公告规定的条件，申请将其持有基金管理人管理的、某一基金的基金份额转换为基金管理人管理的其他</w:t>
            </w:r>
            <w:r>
              <w:rPr>
                <w:rFonts w:asciiTheme="majorEastAsia" w:eastAsiaTheme="majorEastAsia" w:hAnsiTheme="majorEastAsia" w:cs="Arial"/>
                <w:b/>
                <w:strike/>
                <w:kern w:val="2"/>
                <w:sz w:val="20"/>
                <w:szCs w:val="22"/>
              </w:rPr>
              <w:t>基金</w:t>
            </w:r>
            <w:r>
              <w:rPr>
                <w:rFonts w:asciiTheme="majorEastAsia" w:eastAsiaTheme="majorEastAsia" w:hAnsiTheme="majorEastAsia" w:cs="Arial"/>
                <w:kern w:val="2"/>
                <w:sz w:val="20"/>
                <w:szCs w:val="22"/>
              </w:rPr>
              <w:t>基金份额的行为</w:t>
            </w:r>
          </w:p>
        </w:tc>
        <w:tc>
          <w:tcPr>
            <w:tcW w:w="1983"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 xml:space="preserve">第二部分 </w:t>
            </w:r>
            <w:r>
              <w:rPr>
                <w:rFonts w:asciiTheme="majorEastAsia" w:eastAsiaTheme="majorEastAsia" w:hAnsiTheme="majorEastAsia" w:cs="Arial"/>
                <w:kern w:val="2"/>
                <w:sz w:val="20"/>
                <w:szCs w:val="22"/>
              </w:rPr>
              <w:t xml:space="preserve"> 释  义</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43、</w:t>
            </w:r>
            <w:r>
              <w:rPr>
                <w:rFonts w:asciiTheme="majorEastAsia" w:eastAsiaTheme="majorEastAsia" w:hAnsiTheme="majorEastAsia" w:cs="Arial"/>
                <w:kern w:val="2"/>
                <w:sz w:val="20"/>
                <w:szCs w:val="22"/>
              </w:rPr>
              <w:t>基金转换：指基金份额持有人按照本基金合同和基金管理人届时有效公告规定的条件，申请将其持有基金管理人管理的、某一基金的基金份额转换为基金管理人管理的其他基金份额的行为</w:t>
            </w:r>
          </w:p>
        </w:tc>
      </w:tr>
      <w:tr w:rsidR="00BF392E">
        <w:trPr>
          <w:trHeight w:val="2116"/>
        </w:trPr>
        <w:tc>
          <w:tcPr>
            <w:tcW w:w="1093" w:type="pct"/>
            <w:vMerge/>
          </w:tcPr>
          <w:p w:rsidR="00BF392E" w:rsidRDefault="00BF392E">
            <w:pPr>
              <w:pStyle w:val="a5"/>
              <w:spacing w:before="41"/>
              <w:rPr>
                <w:rFonts w:ascii="Segoe UI" w:hAnsi="Segoe UI" w:cs="Segoe UI"/>
                <w:shd w:val="clear" w:color="auto" w:fill="FFFFFF"/>
              </w:rPr>
            </w:pPr>
          </w:p>
        </w:tc>
        <w:tc>
          <w:tcPr>
            <w:tcW w:w="1924"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第三部分 基金的基本情况</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八、</w:t>
            </w:r>
            <w:r>
              <w:rPr>
                <w:rFonts w:asciiTheme="majorEastAsia" w:eastAsiaTheme="majorEastAsia" w:hAnsiTheme="majorEastAsia" w:cs="Arial" w:hint="eastAsia"/>
                <w:kern w:val="2"/>
                <w:sz w:val="20"/>
                <w:szCs w:val="22"/>
              </w:rPr>
              <w:t>基金份额类别</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本基金A类和C类基金份额分别设置代码。</w:t>
            </w:r>
            <w:r>
              <w:rPr>
                <w:rFonts w:asciiTheme="majorEastAsia" w:eastAsiaTheme="majorEastAsia" w:hAnsiTheme="majorEastAsia" w:cs="Arial" w:hint="eastAsia"/>
                <w:b/>
                <w:strike/>
                <w:kern w:val="2"/>
                <w:sz w:val="20"/>
                <w:szCs w:val="22"/>
              </w:rPr>
              <w:t>两类份额之间不能转换。</w:t>
            </w:r>
            <w:r>
              <w:rPr>
                <w:rFonts w:asciiTheme="majorEastAsia" w:eastAsiaTheme="majorEastAsia" w:hAnsiTheme="majorEastAsia" w:cs="Arial" w:hint="eastAsia"/>
                <w:kern w:val="2"/>
                <w:sz w:val="20"/>
                <w:szCs w:val="22"/>
              </w:rPr>
              <w:t>由于基金费用的不同，本基金A类基金份额和C类基金份额将分别计算基金份额净值，计算公式为计算日各类别基金资产净值除以计算日该类别基金份额总数。</w:t>
            </w:r>
          </w:p>
        </w:tc>
        <w:tc>
          <w:tcPr>
            <w:tcW w:w="1983"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第三部分 基金的基本情况</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八、</w:t>
            </w:r>
            <w:r>
              <w:rPr>
                <w:rFonts w:asciiTheme="majorEastAsia" w:eastAsiaTheme="majorEastAsia" w:hAnsiTheme="majorEastAsia" w:cs="Arial" w:hint="eastAsia"/>
                <w:kern w:val="2"/>
                <w:sz w:val="20"/>
                <w:szCs w:val="22"/>
              </w:rPr>
              <w:t>基金份额类别</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本基金A类和C类基金份额分别设置代码。由于基金费用的不同，本基金A类基金份额和C类基金份额将分别计算基金份额净值，计算公式为计算日各类别基金资产净值除以计算日该类别基金份额总数。</w:t>
            </w:r>
          </w:p>
        </w:tc>
      </w:tr>
      <w:tr w:rsidR="00BF392E">
        <w:trPr>
          <w:trHeight w:val="2116"/>
        </w:trPr>
        <w:tc>
          <w:tcPr>
            <w:tcW w:w="1093" w:type="pct"/>
            <w:vMerge/>
          </w:tcPr>
          <w:p w:rsidR="00BF392E" w:rsidRDefault="00BF392E">
            <w:pPr>
              <w:pStyle w:val="a5"/>
              <w:spacing w:before="41"/>
              <w:rPr>
                <w:rFonts w:ascii="Segoe UI" w:hAnsi="Segoe UI" w:cs="Segoe UI"/>
                <w:shd w:val="clear" w:color="auto" w:fill="FFFFFF"/>
              </w:rPr>
            </w:pPr>
          </w:p>
        </w:tc>
        <w:tc>
          <w:tcPr>
            <w:tcW w:w="1924"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第</w:t>
            </w:r>
            <w:r>
              <w:rPr>
                <w:rFonts w:asciiTheme="majorEastAsia" w:eastAsiaTheme="majorEastAsia" w:hAnsiTheme="majorEastAsia" w:cs="Arial" w:hint="eastAsia"/>
                <w:kern w:val="2"/>
                <w:sz w:val="20"/>
                <w:szCs w:val="22"/>
              </w:rPr>
              <w:t>六</w:t>
            </w:r>
            <w:r>
              <w:rPr>
                <w:rFonts w:asciiTheme="majorEastAsia" w:eastAsiaTheme="majorEastAsia" w:hAnsiTheme="majorEastAsia" w:cs="Arial"/>
                <w:kern w:val="2"/>
                <w:sz w:val="20"/>
                <w:szCs w:val="22"/>
              </w:rPr>
              <w:t>部分  基金份额的申购与赎回</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十一</w:t>
            </w:r>
            <w:r>
              <w:rPr>
                <w:rFonts w:asciiTheme="majorEastAsia" w:eastAsiaTheme="majorEastAsia" w:hAnsiTheme="majorEastAsia" w:cs="Arial" w:hint="eastAsia"/>
                <w:kern w:val="2"/>
                <w:sz w:val="20"/>
                <w:szCs w:val="22"/>
              </w:rPr>
              <w:t>、</w:t>
            </w:r>
            <w:r>
              <w:rPr>
                <w:rFonts w:asciiTheme="majorEastAsia" w:eastAsiaTheme="majorEastAsia" w:hAnsiTheme="majorEastAsia" w:cs="Arial"/>
                <w:kern w:val="2"/>
                <w:sz w:val="20"/>
                <w:szCs w:val="22"/>
              </w:rPr>
              <w:t>基金转换</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基金管理人可以根据相关法律法规以及本基金合同的规定决定开办本基金</w:t>
            </w:r>
            <w:r>
              <w:rPr>
                <w:rFonts w:asciiTheme="majorEastAsia" w:eastAsiaTheme="majorEastAsia" w:hAnsiTheme="majorEastAsia" w:cs="Arial"/>
                <w:b/>
                <w:strike/>
                <w:kern w:val="2"/>
                <w:sz w:val="20"/>
                <w:szCs w:val="22"/>
              </w:rPr>
              <w:t>与基金管理人管理的其他基金之间</w:t>
            </w:r>
            <w:r>
              <w:rPr>
                <w:rFonts w:asciiTheme="majorEastAsia" w:eastAsiaTheme="majorEastAsia" w:hAnsiTheme="majorEastAsia" w:cs="Arial"/>
                <w:kern w:val="2"/>
                <w:sz w:val="20"/>
                <w:szCs w:val="22"/>
              </w:rPr>
              <w:t>的转换业务，基金转换可以收取一定的转换费，相关规则由基金管理人届时根据相关法律法规及本基金合同的规定制定并公告，并提前告知基金托管人与相关机构。</w:t>
            </w:r>
          </w:p>
        </w:tc>
        <w:tc>
          <w:tcPr>
            <w:tcW w:w="1983"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第</w:t>
            </w:r>
            <w:r>
              <w:rPr>
                <w:rFonts w:asciiTheme="majorEastAsia" w:eastAsiaTheme="majorEastAsia" w:hAnsiTheme="majorEastAsia" w:cs="Arial" w:hint="eastAsia"/>
                <w:kern w:val="2"/>
                <w:sz w:val="20"/>
                <w:szCs w:val="22"/>
              </w:rPr>
              <w:t>六</w:t>
            </w:r>
            <w:r>
              <w:rPr>
                <w:rFonts w:asciiTheme="majorEastAsia" w:eastAsiaTheme="majorEastAsia" w:hAnsiTheme="majorEastAsia" w:cs="Arial"/>
                <w:kern w:val="2"/>
                <w:sz w:val="20"/>
                <w:szCs w:val="22"/>
              </w:rPr>
              <w:t>部分  基金份额的申购与赎回</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十一</w:t>
            </w:r>
            <w:r>
              <w:rPr>
                <w:rFonts w:asciiTheme="majorEastAsia" w:eastAsiaTheme="majorEastAsia" w:hAnsiTheme="majorEastAsia" w:cs="Arial" w:hint="eastAsia"/>
                <w:kern w:val="2"/>
                <w:sz w:val="20"/>
                <w:szCs w:val="22"/>
              </w:rPr>
              <w:t>、</w:t>
            </w:r>
            <w:r>
              <w:rPr>
                <w:rFonts w:asciiTheme="majorEastAsia" w:eastAsiaTheme="majorEastAsia" w:hAnsiTheme="majorEastAsia" w:cs="Arial"/>
                <w:kern w:val="2"/>
                <w:sz w:val="20"/>
                <w:szCs w:val="22"/>
              </w:rPr>
              <w:t>基金转换</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基金管理人可以根据相关法律法规以及本基金合同的规定决定开办本基金的转换业务，基金转换可以收取一定的转换费，相关规则由基金管理人届时根据相关法律法规及本基金合同的规定制定并公告，并提前告知基金托管人与相关机构。</w:t>
            </w:r>
          </w:p>
        </w:tc>
      </w:tr>
      <w:tr w:rsidR="00BF392E">
        <w:trPr>
          <w:trHeight w:val="2116"/>
        </w:trPr>
        <w:tc>
          <w:tcPr>
            <w:tcW w:w="1093" w:type="pct"/>
            <w:vMerge/>
          </w:tcPr>
          <w:p w:rsidR="00BF392E" w:rsidRDefault="00BF392E">
            <w:pPr>
              <w:pStyle w:val="a5"/>
              <w:spacing w:before="41"/>
              <w:rPr>
                <w:rFonts w:ascii="Segoe UI" w:hAnsi="Segoe UI" w:cs="Segoe UI"/>
                <w:shd w:val="clear" w:color="auto" w:fill="FFFFFF"/>
              </w:rPr>
            </w:pPr>
          </w:p>
        </w:tc>
        <w:tc>
          <w:tcPr>
            <w:tcW w:w="1924"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第</w:t>
            </w:r>
            <w:r>
              <w:rPr>
                <w:rFonts w:asciiTheme="majorEastAsia" w:eastAsiaTheme="majorEastAsia" w:hAnsiTheme="majorEastAsia" w:cs="Arial" w:hint="eastAsia"/>
                <w:kern w:val="2"/>
                <w:sz w:val="20"/>
                <w:szCs w:val="22"/>
              </w:rPr>
              <w:t>七</w:t>
            </w:r>
            <w:r>
              <w:rPr>
                <w:rFonts w:asciiTheme="majorEastAsia" w:eastAsiaTheme="majorEastAsia" w:hAnsiTheme="majorEastAsia" w:cs="Arial"/>
                <w:kern w:val="2"/>
                <w:sz w:val="20"/>
                <w:szCs w:val="22"/>
              </w:rPr>
              <w:t>部分  基金合同当事人及权利义务</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一、基金管理人</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（一）</w:t>
            </w:r>
            <w:r>
              <w:rPr>
                <w:rFonts w:asciiTheme="majorEastAsia" w:eastAsiaTheme="majorEastAsia" w:hAnsiTheme="majorEastAsia" w:cs="Arial"/>
                <w:kern w:val="2"/>
                <w:sz w:val="20"/>
                <w:szCs w:val="22"/>
              </w:rPr>
              <w:tab/>
              <w:t>基金管理人简况</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名称：大成基金管理有限公司</w:t>
            </w:r>
          </w:p>
          <w:p w:rsidR="00BF392E" w:rsidRDefault="001D7E4D">
            <w:pPr>
              <w:pStyle w:val="a5"/>
              <w:spacing w:before="41"/>
              <w:rPr>
                <w:rFonts w:asciiTheme="majorEastAsia" w:eastAsiaTheme="majorEastAsia" w:hAnsiTheme="majorEastAsia" w:cs="Arial"/>
                <w:b/>
                <w:strike/>
                <w:kern w:val="2"/>
                <w:sz w:val="20"/>
                <w:szCs w:val="22"/>
              </w:rPr>
            </w:pPr>
            <w:r>
              <w:rPr>
                <w:rFonts w:asciiTheme="majorEastAsia" w:eastAsiaTheme="majorEastAsia" w:hAnsiTheme="majorEastAsia" w:cs="Arial" w:hint="eastAsia"/>
                <w:kern w:val="2"/>
                <w:sz w:val="20"/>
                <w:szCs w:val="22"/>
              </w:rPr>
              <w:t>住所：</w:t>
            </w:r>
            <w:r>
              <w:rPr>
                <w:rFonts w:asciiTheme="majorEastAsia" w:eastAsiaTheme="majorEastAsia" w:hAnsiTheme="majorEastAsia" w:cs="Arial" w:hint="eastAsia"/>
                <w:b/>
                <w:strike/>
                <w:kern w:val="2"/>
                <w:sz w:val="20"/>
                <w:szCs w:val="22"/>
              </w:rPr>
              <w:t>深圳市福田区深南大道7088号招商银行大厦32层</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二、基金托管人</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（一）</w:t>
            </w:r>
            <w:r>
              <w:rPr>
                <w:rFonts w:asciiTheme="majorEastAsia" w:eastAsiaTheme="majorEastAsia" w:hAnsiTheme="majorEastAsia" w:cs="Arial"/>
                <w:kern w:val="2"/>
                <w:sz w:val="20"/>
                <w:szCs w:val="22"/>
              </w:rPr>
              <w:tab/>
              <w:t>基金托管人简况</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名称：中国农业银行股份有限公司</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注册地址：北京市东城区建国门内大街</w:t>
            </w:r>
            <w:r>
              <w:rPr>
                <w:rFonts w:asciiTheme="majorEastAsia" w:eastAsiaTheme="majorEastAsia" w:hAnsiTheme="majorEastAsia" w:cs="Arial"/>
                <w:kern w:val="2"/>
                <w:sz w:val="20"/>
                <w:szCs w:val="22"/>
              </w:rPr>
              <w:t>69</w:t>
            </w:r>
            <w:r>
              <w:rPr>
                <w:rFonts w:asciiTheme="majorEastAsia" w:eastAsiaTheme="majorEastAsia" w:hAnsiTheme="majorEastAsia" w:cs="Arial" w:hint="eastAsia"/>
                <w:kern w:val="2"/>
                <w:sz w:val="20"/>
                <w:szCs w:val="22"/>
              </w:rPr>
              <w:t>号</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办公地址：北京市西城区复兴门内大街</w:t>
            </w:r>
            <w:r>
              <w:rPr>
                <w:rFonts w:asciiTheme="majorEastAsia" w:eastAsiaTheme="majorEastAsia" w:hAnsiTheme="majorEastAsia" w:cs="Arial"/>
                <w:kern w:val="2"/>
                <w:sz w:val="20"/>
                <w:szCs w:val="22"/>
              </w:rPr>
              <w:t>28</w:t>
            </w:r>
            <w:r>
              <w:rPr>
                <w:rFonts w:asciiTheme="majorEastAsia" w:eastAsiaTheme="majorEastAsia" w:hAnsiTheme="majorEastAsia" w:cs="Arial" w:hint="eastAsia"/>
                <w:kern w:val="2"/>
                <w:sz w:val="20"/>
                <w:szCs w:val="22"/>
              </w:rPr>
              <w:t>号凯晨世贸中心东座九层</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邮政编码：</w:t>
            </w:r>
            <w:r>
              <w:rPr>
                <w:rFonts w:asciiTheme="majorEastAsia" w:eastAsiaTheme="majorEastAsia" w:hAnsiTheme="majorEastAsia" w:cs="Arial"/>
                <w:kern w:val="2"/>
                <w:sz w:val="20"/>
                <w:szCs w:val="22"/>
              </w:rPr>
              <w:t>100031</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法定代表人：</w:t>
            </w:r>
            <w:r>
              <w:rPr>
                <w:rFonts w:asciiTheme="majorEastAsia" w:eastAsiaTheme="majorEastAsia" w:hAnsiTheme="majorEastAsia" w:cs="Arial" w:hint="eastAsia"/>
                <w:b/>
                <w:strike/>
                <w:kern w:val="2"/>
                <w:sz w:val="20"/>
                <w:szCs w:val="22"/>
              </w:rPr>
              <w:t>周慕冰</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w:t>
            </w:r>
          </w:p>
        </w:tc>
        <w:tc>
          <w:tcPr>
            <w:tcW w:w="1983"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第</w:t>
            </w:r>
            <w:r>
              <w:rPr>
                <w:rFonts w:asciiTheme="majorEastAsia" w:eastAsiaTheme="majorEastAsia" w:hAnsiTheme="majorEastAsia" w:cs="Arial" w:hint="eastAsia"/>
                <w:kern w:val="2"/>
                <w:sz w:val="20"/>
                <w:szCs w:val="22"/>
              </w:rPr>
              <w:t>七</w:t>
            </w:r>
            <w:r>
              <w:rPr>
                <w:rFonts w:asciiTheme="majorEastAsia" w:eastAsiaTheme="majorEastAsia" w:hAnsiTheme="majorEastAsia" w:cs="Arial"/>
                <w:kern w:val="2"/>
                <w:sz w:val="20"/>
                <w:szCs w:val="22"/>
              </w:rPr>
              <w:t>部分  基金合同当事人及权利义务</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一、基金管理人</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（一）</w:t>
            </w:r>
            <w:r>
              <w:rPr>
                <w:rFonts w:asciiTheme="majorEastAsia" w:eastAsiaTheme="majorEastAsia" w:hAnsiTheme="majorEastAsia" w:cs="Arial"/>
                <w:kern w:val="2"/>
                <w:sz w:val="20"/>
                <w:szCs w:val="22"/>
              </w:rPr>
              <w:tab/>
              <w:t>基金管理人简况</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名称：大成基金管理有限公司</w:t>
            </w:r>
          </w:p>
          <w:p w:rsidR="00BF392E" w:rsidRDefault="001D7E4D">
            <w:pPr>
              <w:pStyle w:val="a5"/>
              <w:spacing w:before="41"/>
              <w:rPr>
                <w:rFonts w:asciiTheme="majorEastAsia" w:eastAsiaTheme="majorEastAsia" w:hAnsiTheme="majorEastAsia" w:cs="Arial"/>
                <w:b/>
                <w:kern w:val="2"/>
                <w:sz w:val="20"/>
                <w:szCs w:val="22"/>
              </w:rPr>
            </w:pPr>
            <w:r>
              <w:rPr>
                <w:rFonts w:asciiTheme="majorEastAsia" w:eastAsiaTheme="majorEastAsia" w:hAnsiTheme="majorEastAsia" w:cs="Arial" w:hint="eastAsia"/>
                <w:kern w:val="2"/>
                <w:sz w:val="20"/>
                <w:szCs w:val="22"/>
              </w:rPr>
              <w:t>住所：</w:t>
            </w:r>
            <w:r>
              <w:rPr>
                <w:rFonts w:asciiTheme="majorEastAsia" w:eastAsiaTheme="majorEastAsia" w:hAnsiTheme="majorEastAsia" w:cs="Arial" w:hint="eastAsia"/>
                <w:b/>
                <w:kern w:val="2"/>
                <w:sz w:val="20"/>
                <w:szCs w:val="22"/>
              </w:rPr>
              <w:t>广东省深圳市南山区海德三道</w:t>
            </w:r>
            <w:r>
              <w:rPr>
                <w:rFonts w:asciiTheme="majorEastAsia" w:eastAsiaTheme="majorEastAsia" w:hAnsiTheme="majorEastAsia" w:cs="Arial"/>
                <w:b/>
                <w:kern w:val="2"/>
                <w:sz w:val="20"/>
                <w:szCs w:val="22"/>
              </w:rPr>
              <w:t>1236</w:t>
            </w:r>
            <w:r>
              <w:rPr>
                <w:rFonts w:asciiTheme="majorEastAsia" w:eastAsiaTheme="majorEastAsia" w:hAnsiTheme="majorEastAsia" w:cs="Arial" w:hint="eastAsia"/>
                <w:b/>
                <w:kern w:val="2"/>
                <w:sz w:val="20"/>
                <w:szCs w:val="22"/>
              </w:rPr>
              <w:t>号大成基金总部大厦</w:t>
            </w:r>
            <w:r>
              <w:rPr>
                <w:rFonts w:asciiTheme="majorEastAsia" w:eastAsiaTheme="majorEastAsia" w:hAnsiTheme="majorEastAsia" w:cs="Arial"/>
                <w:b/>
                <w:kern w:val="2"/>
                <w:sz w:val="20"/>
                <w:szCs w:val="22"/>
              </w:rPr>
              <w:t>5</w:t>
            </w:r>
            <w:r>
              <w:rPr>
                <w:rFonts w:asciiTheme="majorEastAsia" w:eastAsiaTheme="majorEastAsia" w:hAnsiTheme="majorEastAsia" w:cs="Arial" w:hint="eastAsia"/>
                <w:b/>
                <w:kern w:val="2"/>
                <w:sz w:val="20"/>
                <w:szCs w:val="22"/>
              </w:rPr>
              <w:t>层、</w:t>
            </w:r>
            <w:r>
              <w:rPr>
                <w:rFonts w:asciiTheme="majorEastAsia" w:eastAsiaTheme="majorEastAsia" w:hAnsiTheme="majorEastAsia" w:cs="Arial"/>
                <w:b/>
                <w:kern w:val="2"/>
                <w:sz w:val="20"/>
                <w:szCs w:val="22"/>
              </w:rPr>
              <w:t>27-33</w:t>
            </w:r>
            <w:r>
              <w:rPr>
                <w:rFonts w:asciiTheme="majorEastAsia" w:eastAsiaTheme="majorEastAsia" w:hAnsiTheme="majorEastAsia" w:cs="Arial" w:hint="eastAsia"/>
                <w:b/>
                <w:kern w:val="2"/>
                <w:sz w:val="20"/>
                <w:szCs w:val="22"/>
              </w:rPr>
              <w:t>层</w:t>
            </w:r>
          </w:p>
          <w:p w:rsidR="00BF392E" w:rsidRDefault="001D7E4D">
            <w:pPr>
              <w:pStyle w:val="a5"/>
              <w:spacing w:before="41"/>
              <w:rPr>
                <w:rFonts w:asciiTheme="majorEastAsia" w:eastAsiaTheme="majorEastAsia" w:hAnsiTheme="majorEastAsia" w:cs="Arial"/>
                <w:kern w:val="2"/>
                <w:sz w:val="20"/>
              </w:rPr>
            </w:pPr>
            <w:r>
              <w:rPr>
                <w:rFonts w:asciiTheme="majorEastAsia" w:eastAsiaTheme="majorEastAsia" w:hAnsiTheme="majorEastAsia" w:cs="Arial"/>
                <w:kern w:val="2"/>
                <w:sz w:val="20"/>
              </w:rPr>
              <w:t>……</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二、基金托管人</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（一）</w:t>
            </w:r>
            <w:r>
              <w:rPr>
                <w:rFonts w:asciiTheme="majorEastAsia" w:eastAsiaTheme="majorEastAsia" w:hAnsiTheme="majorEastAsia" w:cs="Arial"/>
                <w:kern w:val="2"/>
                <w:sz w:val="20"/>
                <w:szCs w:val="22"/>
              </w:rPr>
              <w:tab/>
              <w:t>基金托管人简况</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名称：中国农业银行股份有限公司</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注册地址：北京市东城区建国门内大街</w:t>
            </w:r>
            <w:r>
              <w:rPr>
                <w:rFonts w:asciiTheme="majorEastAsia" w:eastAsiaTheme="majorEastAsia" w:hAnsiTheme="majorEastAsia" w:cs="Arial"/>
                <w:kern w:val="2"/>
                <w:sz w:val="20"/>
                <w:szCs w:val="22"/>
              </w:rPr>
              <w:t>69</w:t>
            </w:r>
            <w:r>
              <w:rPr>
                <w:rFonts w:asciiTheme="majorEastAsia" w:eastAsiaTheme="majorEastAsia" w:hAnsiTheme="majorEastAsia" w:cs="Arial" w:hint="eastAsia"/>
                <w:kern w:val="2"/>
                <w:sz w:val="20"/>
                <w:szCs w:val="22"/>
              </w:rPr>
              <w:t>号</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办公地址：北京市西城区复兴门内大街</w:t>
            </w:r>
            <w:r>
              <w:rPr>
                <w:rFonts w:asciiTheme="majorEastAsia" w:eastAsiaTheme="majorEastAsia" w:hAnsiTheme="majorEastAsia" w:cs="Arial"/>
                <w:kern w:val="2"/>
                <w:sz w:val="20"/>
                <w:szCs w:val="22"/>
              </w:rPr>
              <w:t>28</w:t>
            </w:r>
            <w:r>
              <w:rPr>
                <w:rFonts w:asciiTheme="majorEastAsia" w:eastAsiaTheme="majorEastAsia" w:hAnsiTheme="majorEastAsia" w:cs="Arial" w:hint="eastAsia"/>
                <w:kern w:val="2"/>
                <w:sz w:val="20"/>
                <w:szCs w:val="22"/>
              </w:rPr>
              <w:t>号凯晨世贸中心东座九层</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邮政编码：</w:t>
            </w:r>
            <w:r>
              <w:rPr>
                <w:rFonts w:asciiTheme="majorEastAsia" w:eastAsiaTheme="majorEastAsia" w:hAnsiTheme="majorEastAsia" w:cs="Arial"/>
                <w:kern w:val="2"/>
                <w:sz w:val="20"/>
                <w:szCs w:val="22"/>
              </w:rPr>
              <w:t>100031</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法定代表人：</w:t>
            </w:r>
            <w:r>
              <w:rPr>
                <w:rFonts w:asciiTheme="majorEastAsia" w:eastAsiaTheme="majorEastAsia" w:hAnsiTheme="majorEastAsia" w:cs="Arial" w:hint="eastAsia"/>
                <w:b/>
                <w:kern w:val="2"/>
                <w:sz w:val="20"/>
                <w:szCs w:val="22"/>
              </w:rPr>
              <w:t>谷澍</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w:t>
            </w:r>
          </w:p>
        </w:tc>
      </w:tr>
      <w:tr w:rsidR="00BF392E">
        <w:trPr>
          <w:trHeight w:val="2116"/>
        </w:trPr>
        <w:tc>
          <w:tcPr>
            <w:tcW w:w="1093" w:type="pct"/>
            <w:vMerge w:val="restart"/>
          </w:tcPr>
          <w:p w:rsidR="00BF392E" w:rsidRDefault="001D7E4D">
            <w:pPr>
              <w:pStyle w:val="a5"/>
              <w:spacing w:before="41"/>
              <w:rPr>
                <w:rFonts w:ascii="Segoe UI" w:hAnsi="Segoe UI" w:cs="Segoe UI"/>
                <w:shd w:val="clear" w:color="auto" w:fill="FFFFFF"/>
              </w:rPr>
            </w:pPr>
            <w:r>
              <w:rPr>
                <w:rFonts w:asciiTheme="majorEastAsia" w:eastAsiaTheme="majorEastAsia" w:hAnsiTheme="majorEastAsia" w:cs="Arial"/>
                <w:kern w:val="2"/>
                <w:sz w:val="20"/>
                <w:szCs w:val="22"/>
              </w:rPr>
              <w:t>大成睿享混合型证券投资基金</w:t>
            </w:r>
          </w:p>
        </w:tc>
        <w:tc>
          <w:tcPr>
            <w:tcW w:w="1924"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 xml:space="preserve">第二部分 </w:t>
            </w:r>
            <w:r>
              <w:rPr>
                <w:rFonts w:asciiTheme="majorEastAsia" w:eastAsiaTheme="majorEastAsia" w:hAnsiTheme="majorEastAsia" w:cs="Arial"/>
                <w:kern w:val="2"/>
                <w:sz w:val="20"/>
                <w:szCs w:val="22"/>
              </w:rPr>
              <w:t xml:space="preserve"> 释  义</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4</w:t>
            </w:r>
            <w:r>
              <w:rPr>
                <w:rFonts w:asciiTheme="majorEastAsia" w:eastAsiaTheme="majorEastAsia" w:hAnsiTheme="majorEastAsia" w:cs="Arial"/>
                <w:kern w:val="2"/>
                <w:sz w:val="20"/>
                <w:szCs w:val="22"/>
              </w:rPr>
              <w:t>4</w:t>
            </w:r>
            <w:r>
              <w:rPr>
                <w:rFonts w:asciiTheme="majorEastAsia" w:eastAsiaTheme="majorEastAsia" w:hAnsiTheme="majorEastAsia" w:cs="Arial" w:hint="eastAsia"/>
                <w:kern w:val="2"/>
                <w:sz w:val="20"/>
                <w:szCs w:val="22"/>
              </w:rPr>
              <w:t>、</w:t>
            </w:r>
            <w:r>
              <w:rPr>
                <w:rFonts w:asciiTheme="majorEastAsia" w:eastAsiaTheme="majorEastAsia" w:hAnsiTheme="majorEastAsia" w:cs="Arial"/>
                <w:kern w:val="2"/>
                <w:sz w:val="20"/>
                <w:szCs w:val="22"/>
              </w:rPr>
              <w:t>基金转换：指基金份额持有人按照本基金合同和基金管理人届时有效公告规定的条件，申请将其持有基金管理人管理的、某一基金的基金份额转换为基金管理人管理的其他</w:t>
            </w:r>
            <w:r>
              <w:rPr>
                <w:rFonts w:asciiTheme="majorEastAsia" w:eastAsiaTheme="majorEastAsia" w:hAnsiTheme="majorEastAsia" w:cs="Arial"/>
                <w:b/>
                <w:strike/>
                <w:kern w:val="2"/>
                <w:sz w:val="20"/>
                <w:szCs w:val="22"/>
              </w:rPr>
              <w:t>基金</w:t>
            </w:r>
            <w:r>
              <w:rPr>
                <w:rFonts w:asciiTheme="majorEastAsia" w:eastAsiaTheme="majorEastAsia" w:hAnsiTheme="majorEastAsia" w:cs="Arial"/>
                <w:kern w:val="2"/>
                <w:sz w:val="20"/>
                <w:szCs w:val="22"/>
              </w:rPr>
              <w:t>基金份额的行为</w:t>
            </w:r>
          </w:p>
        </w:tc>
        <w:tc>
          <w:tcPr>
            <w:tcW w:w="1983"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 xml:space="preserve">第二部分 </w:t>
            </w:r>
            <w:r>
              <w:rPr>
                <w:rFonts w:asciiTheme="majorEastAsia" w:eastAsiaTheme="majorEastAsia" w:hAnsiTheme="majorEastAsia" w:cs="Arial"/>
                <w:kern w:val="2"/>
                <w:sz w:val="20"/>
                <w:szCs w:val="22"/>
              </w:rPr>
              <w:t xml:space="preserve"> 释  义</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4</w:t>
            </w:r>
            <w:r>
              <w:rPr>
                <w:rFonts w:asciiTheme="majorEastAsia" w:eastAsiaTheme="majorEastAsia" w:hAnsiTheme="majorEastAsia" w:cs="Arial"/>
                <w:kern w:val="2"/>
                <w:sz w:val="20"/>
                <w:szCs w:val="22"/>
              </w:rPr>
              <w:t>4</w:t>
            </w:r>
            <w:r>
              <w:rPr>
                <w:rFonts w:asciiTheme="majorEastAsia" w:eastAsiaTheme="majorEastAsia" w:hAnsiTheme="majorEastAsia" w:cs="Arial" w:hint="eastAsia"/>
                <w:kern w:val="2"/>
                <w:sz w:val="20"/>
                <w:szCs w:val="22"/>
              </w:rPr>
              <w:t>、</w:t>
            </w:r>
            <w:r>
              <w:rPr>
                <w:rFonts w:asciiTheme="majorEastAsia" w:eastAsiaTheme="majorEastAsia" w:hAnsiTheme="majorEastAsia" w:cs="Arial"/>
                <w:kern w:val="2"/>
                <w:sz w:val="20"/>
                <w:szCs w:val="22"/>
              </w:rPr>
              <w:t>基金转换：指基金份额持有人按照本基金合同和基金管理人届时有效公告规定的条件，申请将其持有基金管理人管理的、某一基金的基金份额转换为基金管理人管理的其他基金份额的行为</w:t>
            </w:r>
          </w:p>
        </w:tc>
      </w:tr>
      <w:tr w:rsidR="00BF392E">
        <w:trPr>
          <w:trHeight w:val="2116"/>
        </w:trPr>
        <w:tc>
          <w:tcPr>
            <w:tcW w:w="1093" w:type="pct"/>
            <w:vMerge/>
          </w:tcPr>
          <w:p w:rsidR="00BF392E" w:rsidRDefault="00BF392E">
            <w:pPr>
              <w:pStyle w:val="a5"/>
              <w:spacing w:before="41"/>
              <w:rPr>
                <w:rFonts w:asciiTheme="majorEastAsia" w:eastAsiaTheme="majorEastAsia" w:hAnsiTheme="majorEastAsia" w:cs="Arial"/>
                <w:kern w:val="2"/>
                <w:sz w:val="20"/>
                <w:szCs w:val="22"/>
              </w:rPr>
            </w:pPr>
          </w:p>
        </w:tc>
        <w:tc>
          <w:tcPr>
            <w:tcW w:w="1924"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第三部分 基金的基本情况</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八、</w:t>
            </w:r>
            <w:r>
              <w:rPr>
                <w:rFonts w:asciiTheme="majorEastAsia" w:eastAsiaTheme="majorEastAsia" w:hAnsiTheme="majorEastAsia" w:cs="Arial" w:hint="eastAsia"/>
                <w:kern w:val="2"/>
                <w:sz w:val="20"/>
                <w:szCs w:val="22"/>
              </w:rPr>
              <w:t>基金份额类别</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本基金A类和C类基金份额分别设置代码。</w:t>
            </w:r>
            <w:r>
              <w:rPr>
                <w:rFonts w:asciiTheme="majorEastAsia" w:eastAsiaTheme="majorEastAsia" w:hAnsiTheme="majorEastAsia" w:cs="Arial" w:hint="eastAsia"/>
                <w:b/>
                <w:strike/>
                <w:kern w:val="2"/>
                <w:sz w:val="20"/>
                <w:szCs w:val="22"/>
              </w:rPr>
              <w:t>两类份额之间不能转换。</w:t>
            </w:r>
            <w:r>
              <w:rPr>
                <w:rFonts w:asciiTheme="majorEastAsia" w:eastAsiaTheme="majorEastAsia" w:hAnsiTheme="majorEastAsia" w:cs="Arial" w:hint="eastAsia"/>
                <w:kern w:val="2"/>
                <w:sz w:val="20"/>
                <w:szCs w:val="22"/>
              </w:rPr>
              <w:t>由于基金费用的不同，本基金A类基金份额和C类基金份额将分别计算基金份额净值，计算公式为计算日各类别基金资产净值除以计算日发售在外的该类别基金份额总数。</w:t>
            </w:r>
          </w:p>
        </w:tc>
        <w:tc>
          <w:tcPr>
            <w:tcW w:w="1983"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第三部分 基金的基本情况</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八、</w:t>
            </w:r>
            <w:r>
              <w:rPr>
                <w:rFonts w:asciiTheme="majorEastAsia" w:eastAsiaTheme="majorEastAsia" w:hAnsiTheme="majorEastAsia" w:cs="Arial" w:hint="eastAsia"/>
                <w:kern w:val="2"/>
                <w:sz w:val="20"/>
                <w:szCs w:val="22"/>
              </w:rPr>
              <w:t>基金份额类别</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本基金A类和C类基金份额分别设置代码。由于基金费用的不同，本基金A类基金份额和C类基金份额将分别计算基金份额净值，计算公式为计算日各类别基金资产净值除以计算日发售在外的该类别基金份额总数。</w:t>
            </w:r>
          </w:p>
        </w:tc>
      </w:tr>
      <w:tr w:rsidR="00BF392E">
        <w:trPr>
          <w:trHeight w:val="2116"/>
        </w:trPr>
        <w:tc>
          <w:tcPr>
            <w:tcW w:w="1093" w:type="pct"/>
            <w:vMerge/>
          </w:tcPr>
          <w:p w:rsidR="00BF392E" w:rsidRDefault="00BF392E">
            <w:pPr>
              <w:pStyle w:val="a5"/>
              <w:spacing w:before="41"/>
              <w:rPr>
                <w:rFonts w:asciiTheme="majorEastAsia" w:eastAsiaTheme="majorEastAsia" w:hAnsiTheme="majorEastAsia" w:cs="Arial"/>
                <w:kern w:val="2"/>
                <w:sz w:val="20"/>
                <w:szCs w:val="22"/>
              </w:rPr>
            </w:pPr>
          </w:p>
        </w:tc>
        <w:tc>
          <w:tcPr>
            <w:tcW w:w="1924"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第</w:t>
            </w:r>
            <w:r>
              <w:rPr>
                <w:rFonts w:asciiTheme="majorEastAsia" w:eastAsiaTheme="majorEastAsia" w:hAnsiTheme="majorEastAsia" w:cs="Arial" w:hint="eastAsia"/>
                <w:kern w:val="2"/>
                <w:sz w:val="20"/>
                <w:szCs w:val="22"/>
              </w:rPr>
              <w:t>六</w:t>
            </w:r>
            <w:r>
              <w:rPr>
                <w:rFonts w:asciiTheme="majorEastAsia" w:eastAsiaTheme="majorEastAsia" w:hAnsiTheme="majorEastAsia" w:cs="Arial"/>
                <w:kern w:val="2"/>
                <w:sz w:val="20"/>
                <w:szCs w:val="22"/>
              </w:rPr>
              <w:t>部分  基金份额的申购与赎回</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十一</w:t>
            </w:r>
            <w:r>
              <w:rPr>
                <w:rFonts w:asciiTheme="majorEastAsia" w:eastAsiaTheme="majorEastAsia" w:hAnsiTheme="majorEastAsia" w:cs="Arial" w:hint="eastAsia"/>
                <w:kern w:val="2"/>
                <w:sz w:val="20"/>
                <w:szCs w:val="22"/>
              </w:rPr>
              <w:t>、</w:t>
            </w:r>
            <w:r>
              <w:rPr>
                <w:rFonts w:asciiTheme="majorEastAsia" w:eastAsiaTheme="majorEastAsia" w:hAnsiTheme="majorEastAsia" w:cs="Arial"/>
                <w:kern w:val="2"/>
                <w:sz w:val="20"/>
                <w:szCs w:val="22"/>
              </w:rPr>
              <w:t>基金转换</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基金管理人可以根据相关法律法规以及本基金合同的规定决定开办本基金</w:t>
            </w:r>
            <w:r>
              <w:rPr>
                <w:rFonts w:asciiTheme="majorEastAsia" w:eastAsiaTheme="majorEastAsia" w:hAnsiTheme="majorEastAsia" w:cs="Arial"/>
                <w:b/>
                <w:strike/>
                <w:kern w:val="2"/>
                <w:sz w:val="20"/>
                <w:szCs w:val="22"/>
              </w:rPr>
              <w:t>与基金管理人管理的其他基金之间</w:t>
            </w:r>
            <w:r>
              <w:rPr>
                <w:rFonts w:asciiTheme="majorEastAsia" w:eastAsiaTheme="majorEastAsia" w:hAnsiTheme="majorEastAsia" w:cs="Arial"/>
                <w:kern w:val="2"/>
                <w:sz w:val="20"/>
                <w:szCs w:val="22"/>
              </w:rPr>
              <w:t>的转换业务，基金转换可以收取一定的转换费，相关规则由基金管理人届时根据相关法律法规及本基金合同的规定制定并公告，并提前告知基金托管人与相关机构。</w:t>
            </w:r>
          </w:p>
        </w:tc>
        <w:tc>
          <w:tcPr>
            <w:tcW w:w="1983"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第</w:t>
            </w:r>
            <w:r>
              <w:rPr>
                <w:rFonts w:asciiTheme="majorEastAsia" w:eastAsiaTheme="majorEastAsia" w:hAnsiTheme="majorEastAsia" w:cs="Arial" w:hint="eastAsia"/>
                <w:kern w:val="2"/>
                <w:sz w:val="20"/>
                <w:szCs w:val="22"/>
              </w:rPr>
              <w:t>六</w:t>
            </w:r>
            <w:r>
              <w:rPr>
                <w:rFonts w:asciiTheme="majorEastAsia" w:eastAsiaTheme="majorEastAsia" w:hAnsiTheme="majorEastAsia" w:cs="Arial"/>
                <w:kern w:val="2"/>
                <w:sz w:val="20"/>
                <w:szCs w:val="22"/>
              </w:rPr>
              <w:t>部分  基金份额的申购与赎回</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十一</w:t>
            </w:r>
            <w:r>
              <w:rPr>
                <w:rFonts w:asciiTheme="majorEastAsia" w:eastAsiaTheme="majorEastAsia" w:hAnsiTheme="majorEastAsia" w:cs="Arial" w:hint="eastAsia"/>
                <w:kern w:val="2"/>
                <w:sz w:val="20"/>
                <w:szCs w:val="22"/>
              </w:rPr>
              <w:t>、</w:t>
            </w:r>
            <w:r>
              <w:rPr>
                <w:rFonts w:asciiTheme="majorEastAsia" w:eastAsiaTheme="majorEastAsia" w:hAnsiTheme="majorEastAsia" w:cs="Arial"/>
                <w:kern w:val="2"/>
                <w:sz w:val="20"/>
                <w:szCs w:val="22"/>
              </w:rPr>
              <w:t>基金转换</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基金管理人可以根据相关法律法规以及本基金合同的规定决定开办本基金的转换业务，基金转换可以收取一定的转换费，相关规则由基金管理人届时根据相关法律法规及本基金合同的规定制定并公告，并提前告知基金托管人与相关机构。</w:t>
            </w:r>
          </w:p>
        </w:tc>
      </w:tr>
      <w:tr w:rsidR="00BF392E">
        <w:trPr>
          <w:trHeight w:val="2116"/>
        </w:trPr>
        <w:tc>
          <w:tcPr>
            <w:tcW w:w="1093" w:type="pct"/>
            <w:vMerge/>
          </w:tcPr>
          <w:p w:rsidR="00BF392E" w:rsidRDefault="00BF392E">
            <w:pPr>
              <w:pStyle w:val="a5"/>
              <w:spacing w:before="41"/>
              <w:rPr>
                <w:rFonts w:asciiTheme="majorEastAsia" w:eastAsiaTheme="majorEastAsia" w:hAnsiTheme="majorEastAsia" w:cs="Arial"/>
                <w:kern w:val="2"/>
                <w:sz w:val="20"/>
                <w:szCs w:val="22"/>
              </w:rPr>
            </w:pPr>
          </w:p>
        </w:tc>
        <w:tc>
          <w:tcPr>
            <w:tcW w:w="1924"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第</w:t>
            </w:r>
            <w:r>
              <w:rPr>
                <w:rFonts w:asciiTheme="majorEastAsia" w:eastAsiaTheme="majorEastAsia" w:hAnsiTheme="majorEastAsia" w:cs="Arial" w:hint="eastAsia"/>
                <w:kern w:val="2"/>
                <w:sz w:val="20"/>
                <w:szCs w:val="22"/>
              </w:rPr>
              <w:t>七</w:t>
            </w:r>
            <w:r>
              <w:rPr>
                <w:rFonts w:asciiTheme="majorEastAsia" w:eastAsiaTheme="majorEastAsia" w:hAnsiTheme="majorEastAsia" w:cs="Arial"/>
                <w:kern w:val="2"/>
                <w:sz w:val="20"/>
                <w:szCs w:val="22"/>
              </w:rPr>
              <w:t>部分  基金合同当事人及权利义务</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一、基金管理人</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（一）</w:t>
            </w:r>
            <w:r>
              <w:rPr>
                <w:rFonts w:asciiTheme="majorEastAsia" w:eastAsiaTheme="majorEastAsia" w:hAnsiTheme="majorEastAsia" w:cs="Arial"/>
                <w:kern w:val="2"/>
                <w:sz w:val="20"/>
                <w:szCs w:val="22"/>
              </w:rPr>
              <w:tab/>
              <w:t>基金管理人简况</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名称：大成基金管理有限公司</w:t>
            </w:r>
          </w:p>
          <w:p w:rsidR="00BF392E" w:rsidRDefault="001D7E4D">
            <w:pPr>
              <w:pStyle w:val="a5"/>
              <w:spacing w:before="41"/>
              <w:rPr>
                <w:rFonts w:asciiTheme="majorEastAsia" w:eastAsiaTheme="majorEastAsia" w:hAnsiTheme="majorEastAsia" w:cs="Arial"/>
                <w:b/>
                <w:strike/>
                <w:kern w:val="2"/>
                <w:sz w:val="20"/>
                <w:szCs w:val="22"/>
              </w:rPr>
            </w:pPr>
            <w:r>
              <w:rPr>
                <w:rFonts w:asciiTheme="majorEastAsia" w:eastAsiaTheme="majorEastAsia" w:hAnsiTheme="majorEastAsia" w:cs="Arial" w:hint="eastAsia"/>
                <w:kern w:val="2"/>
                <w:sz w:val="20"/>
                <w:szCs w:val="22"/>
              </w:rPr>
              <w:t>住所：</w:t>
            </w:r>
            <w:r>
              <w:rPr>
                <w:rFonts w:asciiTheme="majorEastAsia" w:eastAsiaTheme="majorEastAsia" w:hAnsiTheme="majorEastAsia" w:cs="Arial" w:hint="eastAsia"/>
                <w:b/>
                <w:strike/>
                <w:kern w:val="2"/>
                <w:sz w:val="20"/>
                <w:szCs w:val="22"/>
              </w:rPr>
              <w:t>深圳市福田区深南大道7088号招商银行大厦32层</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二、基金托管人</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（一）</w:t>
            </w:r>
            <w:r>
              <w:rPr>
                <w:rFonts w:asciiTheme="majorEastAsia" w:eastAsiaTheme="majorEastAsia" w:hAnsiTheme="majorEastAsia" w:cs="Arial"/>
                <w:kern w:val="2"/>
                <w:sz w:val="20"/>
                <w:szCs w:val="22"/>
              </w:rPr>
              <w:tab/>
              <w:t>基金托管人简况</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名称：中国农业银行股份有限公司</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注册地址：北京市东城区建国门内大街</w:t>
            </w:r>
            <w:r>
              <w:rPr>
                <w:rFonts w:asciiTheme="majorEastAsia" w:eastAsiaTheme="majorEastAsia" w:hAnsiTheme="majorEastAsia" w:cs="Arial"/>
                <w:kern w:val="2"/>
                <w:sz w:val="20"/>
                <w:szCs w:val="22"/>
              </w:rPr>
              <w:t>69</w:t>
            </w:r>
            <w:r>
              <w:rPr>
                <w:rFonts w:asciiTheme="majorEastAsia" w:eastAsiaTheme="majorEastAsia" w:hAnsiTheme="majorEastAsia" w:cs="Arial" w:hint="eastAsia"/>
                <w:kern w:val="2"/>
                <w:sz w:val="20"/>
                <w:szCs w:val="22"/>
              </w:rPr>
              <w:t>号</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办公地址：北京市西城区复兴门内大街</w:t>
            </w:r>
            <w:r>
              <w:rPr>
                <w:rFonts w:asciiTheme="majorEastAsia" w:eastAsiaTheme="majorEastAsia" w:hAnsiTheme="majorEastAsia" w:cs="Arial"/>
                <w:kern w:val="2"/>
                <w:sz w:val="20"/>
                <w:szCs w:val="22"/>
              </w:rPr>
              <w:t>28</w:t>
            </w:r>
            <w:r>
              <w:rPr>
                <w:rFonts w:asciiTheme="majorEastAsia" w:eastAsiaTheme="majorEastAsia" w:hAnsiTheme="majorEastAsia" w:cs="Arial" w:hint="eastAsia"/>
                <w:kern w:val="2"/>
                <w:sz w:val="20"/>
                <w:szCs w:val="22"/>
              </w:rPr>
              <w:t>号凯晨世贸中心东座九层</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邮政编码：</w:t>
            </w:r>
            <w:r>
              <w:rPr>
                <w:rFonts w:asciiTheme="majorEastAsia" w:eastAsiaTheme="majorEastAsia" w:hAnsiTheme="majorEastAsia" w:cs="Arial"/>
                <w:kern w:val="2"/>
                <w:sz w:val="20"/>
                <w:szCs w:val="22"/>
              </w:rPr>
              <w:t>100031</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法定代表人：</w:t>
            </w:r>
            <w:r>
              <w:rPr>
                <w:rFonts w:asciiTheme="majorEastAsia" w:eastAsiaTheme="majorEastAsia" w:hAnsiTheme="majorEastAsia" w:cs="Arial" w:hint="eastAsia"/>
                <w:b/>
                <w:strike/>
                <w:kern w:val="2"/>
                <w:sz w:val="20"/>
                <w:szCs w:val="22"/>
              </w:rPr>
              <w:t>周慕冰</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成立时间：</w:t>
            </w:r>
            <w:r>
              <w:rPr>
                <w:rFonts w:asciiTheme="majorEastAsia" w:eastAsiaTheme="majorEastAsia" w:hAnsiTheme="majorEastAsia" w:cs="Arial"/>
                <w:kern w:val="2"/>
                <w:sz w:val="20"/>
                <w:szCs w:val="22"/>
              </w:rPr>
              <w:t>2009</w:t>
            </w:r>
            <w:r>
              <w:rPr>
                <w:rFonts w:asciiTheme="majorEastAsia" w:eastAsiaTheme="majorEastAsia" w:hAnsiTheme="majorEastAsia" w:cs="Arial" w:hint="eastAsia"/>
                <w:kern w:val="2"/>
                <w:sz w:val="20"/>
                <w:szCs w:val="22"/>
              </w:rPr>
              <w:t>年</w:t>
            </w:r>
            <w:r>
              <w:rPr>
                <w:rFonts w:asciiTheme="majorEastAsia" w:eastAsiaTheme="majorEastAsia" w:hAnsiTheme="majorEastAsia" w:cs="Arial"/>
                <w:kern w:val="2"/>
                <w:sz w:val="20"/>
                <w:szCs w:val="22"/>
              </w:rPr>
              <w:t>1</w:t>
            </w:r>
            <w:r>
              <w:rPr>
                <w:rFonts w:asciiTheme="majorEastAsia" w:eastAsiaTheme="majorEastAsia" w:hAnsiTheme="majorEastAsia" w:cs="Arial" w:hint="eastAsia"/>
                <w:kern w:val="2"/>
                <w:sz w:val="20"/>
                <w:szCs w:val="22"/>
              </w:rPr>
              <w:t>月</w:t>
            </w:r>
            <w:r>
              <w:rPr>
                <w:rFonts w:asciiTheme="majorEastAsia" w:eastAsiaTheme="majorEastAsia" w:hAnsiTheme="majorEastAsia" w:cs="Arial"/>
                <w:kern w:val="2"/>
                <w:sz w:val="20"/>
                <w:szCs w:val="22"/>
              </w:rPr>
              <w:t>15</w:t>
            </w:r>
            <w:r>
              <w:rPr>
                <w:rFonts w:asciiTheme="majorEastAsia" w:eastAsiaTheme="majorEastAsia" w:hAnsiTheme="majorEastAsia" w:cs="Arial" w:hint="eastAsia"/>
                <w:kern w:val="2"/>
                <w:sz w:val="20"/>
                <w:szCs w:val="22"/>
              </w:rPr>
              <w:t>日</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批准设立机关和批准设立文号：中国银监会银监复</w:t>
            </w:r>
            <w:r>
              <w:rPr>
                <w:rFonts w:asciiTheme="majorEastAsia" w:eastAsiaTheme="majorEastAsia" w:hAnsiTheme="majorEastAsia" w:cs="Arial"/>
                <w:kern w:val="2"/>
                <w:sz w:val="20"/>
                <w:szCs w:val="22"/>
              </w:rPr>
              <w:t>[2009]13</w:t>
            </w:r>
            <w:r>
              <w:rPr>
                <w:rFonts w:asciiTheme="majorEastAsia" w:eastAsiaTheme="majorEastAsia" w:hAnsiTheme="majorEastAsia" w:cs="Arial" w:hint="eastAsia"/>
                <w:kern w:val="2"/>
                <w:sz w:val="20"/>
                <w:szCs w:val="22"/>
              </w:rPr>
              <w:t>号</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组织形式：股份有限公司</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注册资本：</w:t>
            </w:r>
            <w:r>
              <w:rPr>
                <w:rFonts w:asciiTheme="majorEastAsia" w:eastAsiaTheme="majorEastAsia" w:hAnsiTheme="majorEastAsia" w:cs="Arial"/>
                <w:b/>
                <w:strike/>
                <w:kern w:val="2"/>
                <w:sz w:val="20"/>
                <w:szCs w:val="22"/>
              </w:rPr>
              <w:t>32,479,411.7</w:t>
            </w:r>
            <w:r>
              <w:rPr>
                <w:rFonts w:asciiTheme="majorEastAsia" w:eastAsiaTheme="majorEastAsia" w:hAnsiTheme="majorEastAsia" w:cs="Arial" w:hint="eastAsia"/>
                <w:kern w:val="2"/>
                <w:sz w:val="20"/>
                <w:szCs w:val="22"/>
              </w:rPr>
              <w:t>万元人民币</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存续期间：持续经营</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基金托管资格批文及文号：中国证监会证监基字</w:t>
            </w:r>
            <w:r>
              <w:rPr>
                <w:rFonts w:asciiTheme="majorEastAsia" w:eastAsiaTheme="majorEastAsia" w:hAnsiTheme="majorEastAsia" w:cs="Arial"/>
                <w:kern w:val="2"/>
                <w:sz w:val="20"/>
                <w:szCs w:val="22"/>
              </w:rPr>
              <w:t>[1998]23</w:t>
            </w:r>
            <w:r>
              <w:rPr>
                <w:rFonts w:asciiTheme="majorEastAsia" w:eastAsiaTheme="majorEastAsia" w:hAnsiTheme="majorEastAsia" w:cs="Arial" w:hint="eastAsia"/>
                <w:kern w:val="2"/>
                <w:sz w:val="20"/>
                <w:szCs w:val="22"/>
              </w:rPr>
              <w:t>号</w:t>
            </w:r>
          </w:p>
          <w:p w:rsidR="00BF392E" w:rsidRDefault="00BF392E">
            <w:pPr>
              <w:pStyle w:val="a5"/>
              <w:spacing w:before="41"/>
              <w:rPr>
                <w:rFonts w:asciiTheme="majorEastAsia" w:eastAsiaTheme="majorEastAsia" w:hAnsiTheme="majorEastAsia" w:cs="Arial"/>
                <w:kern w:val="2"/>
                <w:sz w:val="20"/>
                <w:szCs w:val="22"/>
              </w:rPr>
            </w:pPr>
          </w:p>
        </w:tc>
        <w:tc>
          <w:tcPr>
            <w:tcW w:w="1983"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第</w:t>
            </w:r>
            <w:r>
              <w:rPr>
                <w:rFonts w:asciiTheme="majorEastAsia" w:eastAsiaTheme="majorEastAsia" w:hAnsiTheme="majorEastAsia" w:cs="Arial" w:hint="eastAsia"/>
                <w:kern w:val="2"/>
                <w:sz w:val="20"/>
                <w:szCs w:val="22"/>
              </w:rPr>
              <w:t>七</w:t>
            </w:r>
            <w:r>
              <w:rPr>
                <w:rFonts w:asciiTheme="majorEastAsia" w:eastAsiaTheme="majorEastAsia" w:hAnsiTheme="majorEastAsia" w:cs="Arial"/>
                <w:kern w:val="2"/>
                <w:sz w:val="20"/>
                <w:szCs w:val="22"/>
              </w:rPr>
              <w:t>部分  基金合同当事人及权利义务</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一、基金管理人</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（一）</w:t>
            </w:r>
            <w:r>
              <w:rPr>
                <w:rFonts w:asciiTheme="majorEastAsia" w:eastAsiaTheme="majorEastAsia" w:hAnsiTheme="majorEastAsia" w:cs="Arial"/>
                <w:kern w:val="2"/>
                <w:sz w:val="20"/>
                <w:szCs w:val="22"/>
              </w:rPr>
              <w:tab/>
              <w:t>基金管理人简况</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名称：大成基金管理有限公司</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住所：</w:t>
            </w:r>
            <w:r>
              <w:rPr>
                <w:rFonts w:asciiTheme="majorEastAsia" w:eastAsiaTheme="majorEastAsia" w:hAnsiTheme="majorEastAsia" w:cs="Arial" w:hint="eastAsia"/>
                <w:b/>
                <w:kern w:val="2"/>
                <w:sz w:val="20"/>
                <w:szCs w:val="22"/>
              </w:rPr>
              <w:t>广东省深圳市南山区海德三道</w:t>
            </w:r>
            <w:r>
              <w:rPr>
                <w:rFonts w:asciiTheme="majorEastAsia" w:eastAsiaTheme="majorEastAsia" w:hAnsiTheme="majorEastAsia" w:cs="Arial"/>
                <w:b/>
                <w:kern w:val="2"/>
                <w:sz w:val="20"/>
                <w:szCs w:val="22"/>
              </w:rPr>
              <w:t>1236</w:t>
            </w:r>
            <w:r>
              <w:rPr>
                <w:rFonts w:asciiTheme="majorEastAsia" w:eastAsiaTheme="majorEastAsia" w:hAnsiTheme="majorEastAsia" w:cs="Arial" w:hint="eastAsia"/>
                <w:b/>
                <w:kern w:val="2"/>
                <w:sz w:val="20"/>
                <w:szCs w:val="22"/>
              </w:rPr>
              <w:t>号大成基金总部大厦</w:t>
            </w:r>
            <w:r>
              <w:rPr>
                <w:rFonts w:asciiTheme="majorEastAsia" w:eastAsiaTheme="majorEastAsia" w:hAnsiTheme="majorEastAsia" w:cs="Arial"/>
                <w:b/>
                <w:kern w:val="2"/>
                <w:sz w:val="20"/>
                <w:szCs w:val="22"/>
              </w:rPr>
              <w:t>5</w:t>
            </w:r>
            <w:r>
              <w:rPr>
                <w:rFonts w:asciiTheme="majorEastAsia" w:eastAsiaTheme="majorEastAsia" w:hAnsiTheme="majorEastAsia" w:cs="Arial" w:hint="eastAsia"/>
                <w:b/>
                <w:kern w:val="2"/>
                <w:sz w:val="20"/>
                <w:szCs w:val="22"/>
              </w:rPr>
              <w:t>层、</w:t>
            </w:r>
            <w:r>
              <w:rPr>
                <w:rFonts w:asciiTheme="majorEastAsia" w:eastAsiaTheme="majorEastAsia" w:hAnsiTheme="majorEastAsia" w:cs="Arial"/>
                <w:b/>
                <w:kern w:val="2"/>
                <w:sz w:val="20"/>
                <w:szCs w:val="22"/>
              </w:rPr>
              <w:t>27-33</w:t>
            </w:r>
            <w:r>
              <w:rPr>
                <w:rFonts w:asciiTheme="majorEastAsia" w:eastAsiaTheme="majorEastAsia" w:hAnsiTheme="majorEastAsia" w:cs="Arial" w:hint="eastAsia"/>
                <w:b/>
                <w:kern w:val="2"/>
                <w:sz w:val="20"/>
                <w:szCs w:val="22"/>
              </w:rPr>
              <w:t>层</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二、基金托管人</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（一）</w:t>
            </w:r>
            <w:r>
              <w:rPr>
                <w:rFonts w:asciiTheme="majorEastAsia" w:eastAsiaTheme="majorEastAsia" w:hAnsiTheme="majorEastAsia" w:cs="Arial"/>
                <w:kern w:val="2"/>
                <w:sz w:val="20"/>
                <w:szCs w:val="22"/>
              </w:rPr>
              <w:tab/>
              <w:t>基金托管人简况</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名称：中国农业银行股份有限公司</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注册地址：北京市东城区建国门内大街</w:t>
            </w:r>
            <w:r>
              <w:rPr>
                <w:rFonts w:asciiTheme="majorEastAsia" w:eastAsiaTheme="majorEastAsia" w:hAnsiTheme="majorEastAsia" w:cs="Arial"/>
                <w:kern w:val="2"/>
                <w:sz w:val="20"/>
                <w:szCs w:val="22"/>
              </w:rPr>
              <w:t>69</w:t>
            </w:r>
            <w:r>
              <w:rPr>
                <w:rFonts w:asciiTheme="majorEastAsia" w:eastAsiaTheme="majorEastAsia" w:hAnsiTheme="majorEastAsia" w:cs="Arial" w:hint="eastAsia"/>
                <w:kern w:val="2"/>
                <w:sz w:val="20"/>
                <w:szCs w:val="22"/>
              </w:rPr>
              <w:t>号</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办公地址：北京市西城区复兴门内大街</w:t>
            </w:r>
            <w:r>
              <w:rPr>
                <w:rFonts w:asciiTheme="majorEastAsia" w:eastAsiaTheme="majorEastAsia" w:hAnsiTheme="majorEastAsia" w:cs="Arial"/>
                <w:kern w:val="2"/>
                <w:sz w:val="20"/>
                <w:szCs w:val="22"/>
              </w:rPr>
              <w:t>28</w:t>
            </w:r>
            <w:r>
              <w:rPr>
                <w:rFonts w:asciiTheme="majorEastAsia" w:eastAsiaTheme="majorEastAsia" w:hAnsiTheme="majorEastAsia" w:cs="Arial" w:hint="eastAsia"/>
                <w:kern w:val="2"/>
                <w:sz w:val="20"/>
                <w:szCs w:val="22"/>
              </w:rPr>
              <w:t>号凯晨世贸中心东座九层</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邮政编码：</w:t>
            </w:r>
            <w:r>
              <w:rPr>
                <w:rFonts w:asciiTheme="majorEastAsia" w:eastAsiaTheme="majorEastAsia" w:hAnsiTheme="majorEastAsia" w:cs="Arial"/>
                <w:kern w:val="2"/>
                <w:sz w:val="20"/>
                <w:szCs w:val="22"/>
              </w:rPr>
              <w:t>100031</w:t>
            </w:r>
          </w:p>
          <w:p w:rsidR="00BF392E" w:rsidRDefault="001D7E4D">
            <w:pPr>
              <w:pStyle w:val="a5"/>
              <w:spacing w:before="41"/>
              <w:rPr>
                <w:rFonts w:asciiTheme="majorEastAsia" w:eastAsiaTheme="majorEastAsia" w:hAnsiTheme="majorEastAsia" w:cs="Arial"/>
                <w:b/>
                <w:kern w:val="2"/>
                <w:sz w:val="20"/>
                <w:szCs w:val="22"/>
              </w:rPr>
            </w:pPr>
            <w:r>
              <w:rPr>
                <w:rFonts w:asciiTheme="majorEastAsia" w:eastAsiaTheme="majorEastAsia" w:hAnsiTheme="majorEastAsia" w:cs="Arial" w:hint="eastAsia"/>
                <w:kern w:val="2"/>
                <w:sz w:val="20"/>
                <w:szCs w:val="22"/>
              </w:rPr>
              <w:t>法定代表人：</w:t>
            </w:r>
            <w:r>
              <w:rPr>
                <w:rFonts w:asciiTheme="majorEastAsia" w:eastAsiaTheme="majorEastAsia" w:hAnsiTheme="majorEastAsia" w:cs="Arial" w:hint="eastAsia"/>
                <w:b/>
                <w:kern w:val="2"/>
                <w:sz w:val="20"/>
                <w:szCs w:val="22"/>
              </w:rPr>
              <w:t>谷澍</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成立时间：</w:t>
            </w:r>
            <w:r>
              <w:rPr>
                <w:rFonts w:asciiTheme="majorEastAsia" w:eastAsiaTheme="majorEastAsia" w:hAnsiTheme="majorEastAsia" w:cs="Arial"/>
                <w:kern w:val="2"/>
                <w:sz w:val="20"/>
                <w:szCs w:val="22"/>
              </w:rPr>
              <w:t>2009</w:t>
            </w:r>
            <w:r>
              <w:rPr>
                <w:rFonts w:asciiTheme="majorEastAsia" w:eastAsiaTheme="majorEastAsia" w:hAnsiTheme="majorEastAsia" w:cs="Arial" w:hint="eastAsia"/>
                <w:kern w:val="2"/>
                <w:sz w:val="20"/>
                <w:szCs w:val="22"/>
              </w:rPr>
              <w:t>年</w:t>
            </w:r>
            <w:r>
              <w:rPr>
                <w:rFonts w:asciiTheme="majorEastAsia" w:eastAsiaTheme="majorEastAsia" w:hAnsiTheme="majorEastAsia" w:cs="Arial"/>
                <w:kern w:val="2"/>
                <w:sz w:val="20"/>
                <w:szCs w:val="22"/>
              </w:rPr>
              <w:t>1</w:t>
            </w:r>
            <w:r>
              <w:rPr>
                <w:rFonts w:asciiTheme="majorEastAsia" w:eastAsiaTheme="majorEastAsia" w:hAnsiTheme="majorEastAsia" w:cs="Arial" w:hint="eastAsia"/>
                <w:kern w:val="2"/>
                <w:sz w:val="20"/>
                <w:szCs w:val="22"/>
              </w:rPr>
              <w:t>月</w:t>
            </w:r>
            <w:r>
              <w:rPr>
                <w:rFonts w:asciiTheme="majorEastAsia" w:eastAsiaTheme="majorEastAsia" w:hAnsiTheme="majorEastAsia" w:cs="Arial"/>
                <w:kern w:val="2"/>
                <w:sz w:val="20"/>
                <w:szCs w:val="22"/>
              </w:rPr>
              <w:t>15</w:t>
            </w:r>
            <w:r>
              <w:rPr>
                <w:rFonts w:asciiTheme="majorEastAsia" w:eastAsiaTheme="majorEastAsia" w:hAnsiTheme="majorEastAsia" w:cs="Arial" w:hint="eastAsia"/>
                <w:kern w:val="2"/>
                <w:sz w:val="20"/>
                <w:szCs w:val="22"/>
              </w:rPr>
              <w:t>日</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批准设立机关和批准设立文号：中国银监会银监复</w:t>
            </w:r>
            <w:r>
              <w:rPr>
                <w:rFonts w:asciiTheme="majorEastAsia" w:eastAsiaTheme="majorEastAsia" w:hAnsiTheme="majorEastAsia" w:cs="Arial"/>
                <w:kern w:val="2"/>
                <w:sz w:val="20"/>
                <w:szCs w:val="22"/>
              </w:rPr>
              <w:t>[2009]13</w:t>
            </w:r>
            <w:r>
              <w:rPr>
                <w:rFonts w:asciiTheme="majorEastAsia" w:eastAsiaTheme="majorEastAsia" w:hAnsiTheme="majorEastAsia" w:cs="Arial" w:hint="eastAsia"/>
                <w:kern w:val="2"/>
                <w:sz w:val="20"/>
                <w:szCs w:val="22"/>
              </w:rPr>
              <w:t>号</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组织形式：股份有限公司</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注册资本：</w:t>
            </w:r>
            <w:r>
              <w:rPr>
                <w:rFonts w:asciiTheme="majorEastAsia" w:eastAsiaTheme="majorEastAsia" w:hAnsiTheme="majorEastAsia" w:cs="Arial"/>
                <w:b/>
                <w:kern w:val="2"/>
                <w:sz w:val="20"/>
                <w:szCs w:val="22"/>
              </w:rPr>
              <w:t>34,998,303.4</w:t>
            </w:r>
            <w:r>
              <w:rPr>
                <w:rFonts w:asciiTheme="majorEastAsia" w:eastAsiaTheme="majorEastAsia" w:hAnsiTheme="majorEastAsia" w:cs="Arial" w:hint="eastAsia"/>
                <w:kern w:val="2"/>
                <w:sz w:val="20"/>
                <w:szCs w:val="22"/>
              </w:rPr>
              <w:t>万元人民币</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存续期间：持续经营</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基金托管资格批文及文号：中国证监会证监基字</w:t>
            </w:r>
            <w:r>
              <w:rPr>
                <w:rFonts w:asciiTheme="majorEastAsia" w:eastAsiaTheme="majorEastAsia" w:hAnsiTheme="majorEastAsia" w:cs="Arial"/>
                <w:kern w:val="2"/>
                <w:sz w:val="20"/>
                <w:szCs w:val="22"/>
              </w:rPr>
              <w:t>[1998]23</w:t>
            </w:r>
            <w:r>
              <w:rPr>
                <w:rFonts w:asciiTheme="majorEastAsia" w:eastAsiaTheme="majorEastAsia" w:hAnsiTheme="majorEastAsia" w:cs="Arial" w:hint="eastAsia"/>
                <w:kern w:val="2"/>
                <w:sz w:val="20"/>
                <w:szCs w:val="22"/>
              </w:rPr>
              <w:t>号</w:t>
            </w:r>
          </w:p>
          <w:p w:rsidR="00BF392E" w:rsidRDefault="00BF392E">
            <w:pPr>
              <w:pStyle w:val="a5"/>
              <w:spacing w:before="41"/>
              <w:rPr>
                <w:rFonts w:asciiTheme="majorEastAsia" w:eastAsiaTheme="majorEastAsia" w:hAnsiTheme="majorEastAsia" w:cs="Arial"/>
                <w:kern w:val="2"/>
                <w:sz w:val="20"/>
                <w:szCs w:val="22"/>
              </w:rPr>
            </w:pPr>
          </w:p>
        </w:tc>
      </w:tr>
      <w:tr w:rsidR="00BF392E">
        <w:trPr>
          <w:trHeight w:val="1833"/>
        </w:trPr>
        <w:tc>
          <w:tcPr>
            <w:tcW w:w="1093" w:type="pct"/>
            <w:vMerge w:val="restar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大成消费主题混合型证券投资基金</w:t>
            </w:r>
          </w:p>
        </w:tc>
        <w:tc>
          <w:tcPr>
            <w:tcW w:w="1924" w:type="pct"/>
          </w:tcPr>
          <w:p w:rsidR="00BF392E" w:rsidRDefault="001D7E4D">
            <w:pPr>
              <w:pStyle w:val="a5"/>
              <w:spacing w:before="41"/>
              <w:rPr>
                <w:rFonts w:asciiTheme="majorEastAsia" w:eastAsiaTheme="majorEastAsia" w:hAnsiTheme="majorEastAsia" w:cs="Arial"/>
                <w:kern w:val="2"/>
                <w:sz w:val="20"/>
                <w:szCs w:val="22"/>
              </w:rPr>
            </w:pPr>
            <w:bookmarkStart w:id="26" w:name="_Toc55408255"/>
            <w:r>
              <w:rPr>
                <w:rFonts w:asciiTheme="majorEastAsia" w:eastAsiaTheme="majorEastAsia" w:hAnsiTheme="majorEastAsia" w:cs="Arial" w:hint="eastAsia"/>
                <w:kern w:val="2"/>
                <w:sz w:val="20"/>
                <w:szCs w:val="22"/>
              </w:rPr>
              <w:t>二、释义</w:t>
            </w:r>
            <w:bookmarkEnd w:id="26"/>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47、基金转换：指基金份额持有人按照本基金合同和基金管理人届时</w:t>
            </w:r>
            <w:r>
              <w:rPr>
                <w:rFonts w:asciiTheme="majorEastAsia" w:eastAsiaTheme="majorEastAsia" w:hAnsiTheme="majorEastAsia" w:cs="Arial" w:hint="eastAsia"/>
                <w:b/>
                <w:strike/>
                <w:kern w:val="2"/>
                <w:sz w:val="20"/>
                <w:szCs w:val="22"/>
              </w:rPr>
              <w:t>的公告在本基金份额与基金管理人管理的其他基金基金份额间的转换行为</w:t>
            </w:r>
          </w:p>
        </w:tc>
        <w:tc>
          <w:tcPr>
            <w:tcW w:w="1983"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二、释义</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4</w:t>
            </w:r>
            <w:r>
              <w:rPr>
                <w:rFonts w:asciiTheme="majorEastAsia" w:eastAsiaTheme="majorEastAsia" w:hAnsiTheme="majorEastAsia" w:cs="Arial"/>
                <w:kern w:val="2"/>
                <w:sz w:val="20"/>
                <w:szCs w:val="22"/>
              </w:rPr>
              <w:t>7</w:t>
            </w:r>
            <w:r>
              <w:rPr>
                <w:rFonts w:asciiTheme="majorEastAsia" w:eastAsiaTheme="majorEastAsia" w:hAnsiTheme="majorEastAsia" w:cs="Arial" w:hint="eastAsia"/>
                <w:kern w:val="2"/>
                <w:sz w:val="20"/>
                <w:szCs w:val="22"/>
              </w:rPr>
              <w:t>、</w:t>
            </w:r>
            <w:r>
              <w:rPr>
                <w:rFonts w:asciiTheme="majorEastAsia" w:eastAsiaTheme="majorEastAsia" w:hAnsiTheme="majorEastAsia" w:cs="Arial"/>
                <w:kern w:val="2"/>
                <w:sz w:val="20"/>
                <w:szCs w:val="22"/>
              </w:rPr>
              <w:t>基金转换：指基金份额持有人按照本基金合同和基金管理人届时</w:t>
            </w:r>
            <w:r>
              <w:rPr>
                <w:rFonts w:asciiTheme="majorEastAsia" w:eastAsiaTheme="majorEastAsia" w:hAnsiTheme="majorEastAsia" w:cs="Arial"/>
                <w:b/>
                <w:kern w:val="2"/>
                <w:sz w:val="20"/>
                <w:szCs w:val="22"/>
              </w:rPr>
              <w:t>有效公告规定的条件，申请将其持有基金管理人管理的、某一基金的基金份额转换为基金管理人管理的其他基金份额的行为</w:t>
            </w:r>
          </w:p>
        </w:tc>
      </w:tr>
      <w:tr w:rsidR="00BF392E">
        <w:trPr>
          <w:trHeight w:val="1409"/>
        </w:trPr>
        <w:tc>
          <w:tcPr>
            <w:tcW w:w="1093" w:type="pct"/>
            <w:vMerge/>
          </w:tcPr>
          <w:p w:rsidR="00BF392E" w:rsidRDefault="00BF392E">
            <w:pPr>
              <w:pStyle w:val="a5"/>
              <w:spacing w:before="41"/>
              <w:rPr>
                <w:rFonts w:asciiTheme="majorEastAsia" w:eastAsiaTheme="majorEastAsia" w:hAnsiTheme="majorEastAsia" w:cs="Arial"/>
                <w:kern w:val="2"/>
                <w:sz w:val="20"/>
                <w:szCs w:val="22"/>
              </w:rPr>
            </w:pPr>
          </w:p>
        </w:tc>
        <w:tc>
          <w:tcPr>
            <w:tcW w:w="1924" w:type="pct"/>
          </w:tcPr>
          <w:p w:rsidR="00BF392E" w:rsidRDefault="001D7E4D">
            <w:pPr>
              <w:pStyle w:val="a5"/>
              <w:spacing w:before="41"/>
              <w:rPr>
                <w:rFonts w:asciiTheme="majorEastAsia" w:eastAsiaTheme="majorEastAsia" w:hAnsiTheme="majorEastAsia" w:cs="Arial"/>
                <w:kern w:val="2"/>
                <w:sz w:val="20"/>
                <w:szCs w:val="22"/>
              </w:rPr>
            </w:pPr>
            <w:bookmarkStart w:id="27" w:name="_Toc55408256"/>
            <w:bookmarkStart w:id="28" w:name="_Toc90742320"/>
            <w:bookmarkStart w:id="29" w:name="_Toc90742389"/>
            <w:bookmarkStart w:id="30" w:name="_Toc285558458"/>
            <w:r>
              <w:rPr>
                <w:rFonts w:asciiTheme="majorEastAsia" w:eastAsiaTheme="majorEastAsia" w:hAnsiTheme="majorEastAsia" w:cs="Arial" w:hint="eastAsia"/>
                <w:kern w:val="2"/>
                <w:sz w:val="20"/>
                <w:szCs w:val="22"/>
              </w:rPr>
              <w:t>三、基金的基本情况</w:t>
            </w:r>
            <w:bookmarkEnd w:id="27"/>
            <w:bookmarkEnd w:id="28"/>
            <w:bookmarkEnd w:id="29"/>
            <w:bookmarkEnd w:id="30"/>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（七）基金份额类别</w:t>
            </w:r>
            <w:r>
              <w:rPr>
                <w:rFonts w:asciiTheme="majorEastAsia" w:eastAsiaTheme="majorEastAsia" w:hAnsiTheme="majorEastAsia" w:cs="Arial"/>
                <w:kern w:val="2"/>
                <w:sz w:val="20"/>
                <w:szCs w:val="22"/>
              </w:rPr>
              <w:t xml:space="preserve"> </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投资人可自行选择申购的基金份额类别。</w:t>
            </w:r>
            <w:r>
              <w:rPr>
                <w:rFonts w:asciiTheme="majorEastAsia" w:eastAsiaTheme="majorEastAsia" w:hAnsiTheme="majorEastAsia" w:cs="Arial" w:hint="eastAsia"/>
                <w:b/>
                <w:strike/>
                <w:kern w:val="2"/>
                <w:sz w:val="20"/>
                <w:szCs w:val="22"/>
              </w:rPr>
              <w:t>各类基金份额之间不能转换。</w:t>
            </w:r>
          </w:p>
        </w:tc>
        <w:tc>
          <w:tcPr>
            <w:tcW w:w="1983"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三、基金的基本情况</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（七）基金份额类别</w:t>
            </w:r>
            <w:r>
              <w:rPr>
                <w:rFonts w:asciiTheme="majorEastAsia" w:eastAsiaTheme="majorEastAsia" w:hAnsiTheme="majorEastAsia" w:cs="Arial"/>
                <w:kern w:val="2"/>
                <w:sz w:val="20"/>
                <w:szCs w:val="22"/>
              </w:rPr>
              <w:t xml:space="preserve"> </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投资人可自行选择申购的基金份额类别。</w:t>
            </w:r>
          </w:p>
        </w:tc>
      </w:tr>
      <w:tr w:rsidR="00BF392E">
        <w:trPr>
          <w:trHeight w:val="1409"/>
        </w:trPr>
        <w:tc>
          <w:tcPr>
            <w:tcW w:w="1093" w:type="pct"/>
            <w:vMerge/>
          </w:tcPr>
          <w:p w:rsidR="00BF392E" w:rsidRDefault="00BF392E">
            <w:pPr>
              <w:pStyle w:val="a5"/>
              <w:spacing w:before="41"/>
              <w:rPr>
                <w:rFonts w:asciiTheme="majorEastAsia" w:eastAsiaTheme="majorEastAsia" w:hAnsiTheme="majorEastAsia" w:cs="Arial"/>
                <w:kern w:val="2"/>
                <w:sz w:val="20"/>
                <w:szCs w:val="22"/>
              </w:rPr>
            </w:pPr>
          </w:p>
        </w:tc>
        <w:tc>
          <w:tcPr>
            <w:tcW w:w="1924" w:type="pct"/>
          </w:tcPr>
          <w:p w:rsidR="00BF392E" w:rsidRDefault="001D7E4D">
            <w:pPr>
              <w:pStyle w:val="a5"/>
              <w:spacing w:before="41"/>
              <w:rPr>
                <w:rFonts w:asciiTheme="majorEastAsia" w:eastAsiaTheme="majorEastAsia" w:hAnsiTheme="majorEastAsia" w:cs="Arial"/>
                <w:kern w:val="2"/>
                <w:sz w:val="20"/>
                <w:szCs w:val="22"/>
              </w:rPr>
            </w:pPr>
            <w:bookmarkStart w:id="31" w:name="_Toc55408259"/>
            <w:r>
              <w:rPr>
                <w:rFonts w:asciiTheme="majorEastAsia" w:eastAsiaTheme="majorEastAsia" w:hAnsiTheme="majorEastAsia" w:cs="Arial" w:hint="eastAsia"/>
                <w:kern w:val="2"/>
                <w:sz w:val="20"/>
                <w:szCs w:val="22"/>
              </w:rPr>
              <w:t>六、基金份额的申购与赎回</w:t>
            </w:r>
            <w:bookmarkEnd w:id="31"/>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w:t>
            </w:r>
            <w:r>
              <w:rPr>
                <w:rFonts w:asciiTheme="majorEastAsia" w:eastAsiaTheme="majorEastAsia" w:hAnsiTheme="majorEastAsia" w:cs="Arial" w:hint="eastAsia"/>
                <w:kern w:val="2"/>
                <w:sz w:val="20"/>
                <w:szCs w:val="22"/>
              </w:rPr>
              <w:t>十二</w:t>
            </w:r>
            <w:r>
              <w:rPr>
                <w:rFonts w:asciiTheme="majorEastAsia" w:eastAsiaTheme="majorEastAsia" w:hAnsiTheme="majorEastAsia" w:cs="Arial"/>
                <w:kern w:val="2"/>
                <w:sz w:val="20"/>
                <w:szCs w:val="22"/>
              </w:rPr>
              <w:t>)</w:t>
            </w:r>
            <w:r>
              <w:rPr>
                <w:rFonts w:asciiTheme="majorEastAsia" w:eastAsiaTheme="majorEastAsia" w:hAnsiTheme="majorEastAsia" w:cs="Arial" w:hint="eastAsia"/>
                <w:kern w:val="2"/>
                <w:sz w:val="20"/>
                <w:szCs w:val="22"/>
              </w:rPr>
              <w:t>基金转换</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基金管理人可以根据相关法律法规以及本基金合同的规定决定开办本基金</w:t>
            </w:r>
            <w:r>
              <w:rPr>
                <w:rFonts w:asciiTheme="majorEastAsia" w:eastAsiaTheme="majorEastAsia" w:hAnsiTheme="majorEastAsia" w:cs="Arial" w:hint="eastAsia"/>
                <w:b/>
                <w:strike/>
                <w:kern w:val="2"/>
                <w:sz w:val="20"/>
                <w:szCs w:val="22"/>
              </w:rPr>
              <w:t>与基金管理人管理的其他基金之间</w:t>
            </w:r>
            <w:r>
              <w:rPr>
                <w:rFonts w:asciiTheme="majorEastAsia" w:eastAsiaTheme="majorEastAsia" w:hAnsiTheme="majorEastAsia" w:cs="Arial" w:hint="eastAsia"/>
                <w:kern w:val="2"/>
                <w:sz w:val="20"/>
                <w:szCs w:val="22"/>
              </w:rPr>
              <w:t>的转换业务，基金转换可以收取一定的转换费，相关规则由基金管理人届时根据相关法律法规及本基金合同的规定制定并公告，并及时告知基金托管人与相关机构。</w:t>
            </w:r>
          </w:p>
        </w:tc>
        <w:tc>
          <w:tcPr>
            <w:tcW w:w="1983"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六、基金份额的申购与赎回</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w:t>
            </w:r>
            <w:r>
              <w:rPr>
                <w:rFonts w:asciiTheme="majorEastAsia" w:eastAsiaTheme="majorEastAsia" w:hAnsiTheme="majorEastAsia" w:cs="Arial" w:hint="eastAsia"/>
                <w:kern w:val="2"/>
                <w:sz w:val="20"/>
                <w:szCs w:val="22"/>
              </w:rPr>
              <w:t>十二</w:t>
            </w:r>
            <w:r>
              <w:rPr>
                <w:rFonts w:asciiTheme="majorEastAsia" w:eastAsiaTheme="majorEastAsia" w:hAnsiTheme="majorEastAsia" w:cs="Arial"/>
                <w:kern w:val="2"/>
                <w:sz w:val="20"/>
                <w:szCs w:val="22"/>
              </w:rPr>
              <w:t>)</w:t>
            </w:r>
            <w:r>
              <w:rPr>
                <w:rFonts w:asciiTheme="majorEastAsia" w:eastAsiaTheme="majorEastAsia" w:hAnsiTheme="majorEastAsia" w:cs="Arial" w:hint="eastAsia"/>
                <w:kern w:val="2"/>
                <w:sz w:val="20"/>
                <w:szCs w:val="22"/>
              </w:rPr>
              <w:t>基金转换</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基金管理人可以根据相关法律法规以及本基金合同的规定决定开办本基金的转换业务，基金转换可以收取一定的转换费，相关规则由基金管理人届时根据相关法律法规及本基金合同的规定制定并公告，并及时告知基金托管人与相关机构。</w:t>
            </w:r>
          </w:p>
        </w:tc>
      </w:tr>
      <w:tr w:rsidR="00BF392E">
        <w:trPr>
          <w:trHeight w:val="1409"/>
        </w:trPr>
        <w:tc>
          <w:tcPr>
            <w:tcW w:w="1093" w:type="pct"/>
            <w:vMerge w:val="restar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大成新锐产业混合型证券投资基金</w:t>
            </w:r>
          </w:p>
        </w:tc>
        <w:tc>
          <w:tcPr>
            <w:tcW w:w="1924" w:type="pct"/>
          </w:tcPr>
          <w:p w:rsidR="00BF392E" w:rsidRDefault="001D7E4D">
            <w:pPr>
              <w:pStyle w:val="a5"/>
              <w:spacing w:before="41"/>
              <w:rPr>
                <w:rFonts w:asciiTheme="majorEastAsia" w:eastAsiaTheme="majorEastAsia" w:hAnsiTheme="majorEastAsia" w:cs="Arial"/>
                <w:kern w:val="2"/>
                <w:sz w:val="20"/>
                <w:szCs w:val="22"/>
              </w:rPr>
            </w:pPr>
            <w:bookmarkStart w:id="32" w:name="_Toc133506159"/>
            <w:r>
              <w:rPr>
                <w:rFonts w:asciiTheme="majorEastAsia" w:eastAsiaTheme="majorEastAsia" w:hAnsiTheme="majorEastAsia" w:cs="Arial" w:hint="eastAsia"/>
                <w:kern w:val="2"/>
                <w:sz w:val="20"/>
                <w:szCs w:val="22"/>
              </w:rPr>
              <w:t>二、释义</w:t>
            </w:r>
            <w:bookmarkEnd w:id="32"/>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48</w:t>
            </w:r>
            <w:r>
              <w:rPr>
                <w:rFonts w:asciiTheme="majorEastAsia" w:eastAsiaTheme="majorEastAsia" w:hAnsiTheme="majorEastAsia" w:cs="Arial"/>
                <w:kern w:val="2"/>
                <w:sz w:val="20"/>
                <w:szCs w:val="22"/>
              </w:rPr>
              <w:t>、基金转换：指基金份额持有人按照本基金合同和基金管理人届时</w:t>
            </w:r>
            <w:r>
              <w:rPr>
                <w:rFonts w:asciiTheme="majorEastAsia" w:eastAsiaTheme="majorEastAsia" w:hAnsiTheme="majorEastAsia" w:cs="Arial"/>
                <w:b/>
                <w:strike/>
                <w:kern w:val="2"/>
                <w:sz w:val="20"/>
                <w:szCs w:val="22"/>
              </w:rPr>
              <w:t>的公告在本基金份额与基金管理人管理的其他基金份额间的转换行为</w:t>
            </w:r>
          </w:p>
        </w:tc>
        <w:tc>
          <w:tcPr>
            <w:tcW w:w="1983"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二、释义</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4</w:t>
            </w:r>
            <w:r>
              <w:rPr>
                <w:rFonts w:asciiTheme="majorEastAsia" w:eastAsiaTheme="majorEastAsia" w:hAnsiTheme="majorEastAsia" w:cs="Arial"/>
                <w:kern w:val="2"/>
                <w:sz w:val="20"/>
                <w:szCs w:val="22"/>
              </w:rPr>
              <w:t>8</w:t>
            </w:r>
            <w:r>
              <w:rPr>
                <w:rFonts w:asciiTheme="majorEastAsia" w:eastAsiaTheme="majorEastAsia" w:hAnsiTheme="majorEastAsia" w:cs="Arial" w:hint="eastAsia"/>
                <w:kern w:val="2"/>
                <w:sz w:val="20"/>
                <w:szCs w:val="22"/>
              </w:rPr>
              <w:t>、</w:t>
            </w:r>
            <w:r>
              <w:rPr>
                <w:rFonts w:asciiTheme="majorEastAsia" w:eastAsiaTheme="majorEastAsia" w:hAnsiTheme="majorEastAsia" w:cs="Arial"/>
                <w:kern w:val="2"/>
                <w:sz w:val="20"/>
                <w:szCs w:val="22"/>
              </w:rPr>
              <w:t>基金转换：指基金份额持有人按照本基金合同和基金管理人届时</w:t>
            </w:r>
            <w:r>
              <w:rPr>
                <w:rFonts w:asciiTheme="majorEastAsia" w:eastAsiaTheme="majorEastAsia" w:hAnsiTheme="majorEastAsia" w:cs="Arial"/>
                <w:b/>
                <w:kern w:val="2"/>
                <w:sz w:val="20"/>
                <w:szCs w:val="22"/>
              </w:rPr>
              <w:t>有效公告规定的条件，申请将其持有基金管理人管理的、某一基金的基金份额转换为基金管理人管理的其他基金份额的行为</w:t>
            </w:r>
          </w:p>
        </w:tc>
      </w:tr>
      <w:tr w:rsidR="00BF392E">
        <w:trPr>
          <w:trHeight w:val="1409"/>
        </w:trPr>
        <w:tc>
          <w:tcPr>
            <w:tcW w:w="1093" w:type="pct"/>
            <w:vMerge/>
          </w:tcPr>
          <w:p w:rsidR="00BF392E" w:rsidRDefault="00BF392E">
            <w:pPr>
              <w:pStyle w:val="a5"/>
              <w:spacing w:before="41"/>
              <w:rPr>
                <w:rFonts w:asciiTheme="majorEastAsia" w:eastAsiaTheme="majorEastAsia" w:hAnsiTheme="majorEastAsia" w:cs="Arial"/>
                <w:kern w:val="2"/>
                <w:sz w:val="20"/>
                <w:szCs w:val="22"/>
              </w:rPr>
            </w:pPr>
          </w:p>
        </w:tc>
        <w:tc>
          <w:tcPr>
            <w:tcW w:w="1924" w:type="pct"/>
          </w:tcPr>
          <w:p w:rsidR="00BF392E" w:rsidRDefault="001D7E4D">
            <w:pPr>
              <w:pStyle w:val="a5"/>
              <w:spacing w:before="41"/>
              <w:rPr>
                <w:rFonts w:asciiTheme="majorEastAsia" w:eastAsiaTheme="majorEastAsia" w:hAnsiTheme="majorEastAsia" w:cs="Arial"/>
                <w:kern w:val="2"/>
                <w:sz w:val="20"/>
                <w:szCs w:val="22"/>
              </w:rPr>
            </w:pPr>
            <w:bookmarkStart w:id="33" w:name="_Toc133506160"/>
            <w:r>
              <w:rPr>
                <w:rFonts w:asciiTheme="majorEastAsia" w:eastAsiaTheme="majorEastAsia" w:hAnsiTheme="majorEastAsia" w:cs="Arial" w:hint="eastAsia"/>
                <w:kern w:val="2"/>
                <w:sz w:val="20"/>
                <w:szCs w:val="22"/>
              </w:rPr>
              <w:t>三、基金的基本情况</w:t>
            </w:r>
            <w:bookmarkEnd w:id="33"/>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（八）基金份额类别</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投资人可自行选择申购的基金份额类别。</w:t>
            </w:r>
            <w:r>
              <w:rPr>
                <w:rFonts w:asciiTheme="majorEastAsia" w:eastAsiaTheme="majorEastAsia" w:hAnsiTheme="majorEastAsia" w:cs="Arial" w:hint="eastAsia"/>
                <w:b/>
                <w:strike/>
                <w:kern w:val="2"/>
                <w:sz w:val="20"/>
                <w:szCs w:val="22"/>
              </w:rPr>
              <w:t>各类基金份额之间不能转换。</w:t>
            </w:r>
          </w:p>
        </w:tc>
        <w:tc>
          <w:tcPr>
            <w:tcW w:w="1983"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三、基金的基本情况</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（八）基金份额类别</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投资人可自行选择申购的基金份额类别。</w:t>
            </w:r>
          </w:p>
        </w:tc>
      </w:tr>
      <w:tr w:rsidR="00BF392E">
        <w:trPr>
          <w:trHeight w:val="1409"/>
        </w:trPr>
        <w:tc>
          <w:tcPr>
            <w:tcW w:w="1093" w:type="pct"/>
            <w:vMerge/>
          </w:tcPr>
          <w:p w:rsidR="00BF392E" w:rsidRDefault="00BF392E">
            <w:pPr>
              <w:pStyle w:val="a5"/>
              <w:spacing w:before="41"/>
              <w:rPr>
                <w:rFonts w:asciiTheme="majorEastAsia" w:eastAsiaTheme="majorEastAsia" w:hAnsiTheme="majorEastAsia" w:cs="Arial"/>
                <w:kern w:val="2"/>
                <w:sz w:val="20"/>
                <w:szCs w:val="22"/>
              </w:rPr>
            </w:pPr>
          </w:p>
        </w:tc>
        <w:tc>
          <w:tcPr>
            <w:tcW w:w="1924"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六、基金份额的申购与赎回</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 xml:space="preserve"> (十二)基金转换</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基金管理人可以根据相关法律法规以及本基金合同的规定决定开办本基金</w:t>
            </w:r>
            <w:r>
              <w:rPr>
                <w:rFonts w:asciiTheme="majorEastAsia" w:eastAsiaTheme="majorEastAsia" w:hAnsiTheme="majorEastAsia" w:cs="Arial"/>
                <w:b/>
                <w:strike/>
                <w:kern w:val="2"/>
                <w:sz w:val="20"/>
                <w:szCs w:val="22"/>
              </w:rPr>
              <w:t>与基金管理人管理的其他基金之间</w:t>
            </w:r>
            <w:r>
              <w:rPr>
                <w:rFonts w:asciiTheme="majorEastAsia" w:eastAsiaTheme="majorEastAsia" w:hAnsiTheme="majorEastAsia" w:cs="Arial"/>
                <w:kern w:val="2"/>
                <w:sz w:val="20"/>
                <w:szCs w:val="22"/>
              </w:rPr>
              <w:t>的转换业务，基金转换可以收取一定的转换费，相关规则由基金管理人届时根据相关法律法规及本基金合同的规定制定并公告，并及时告知基金托管人与相关机构。</w:t>
            </w:r>
          </w:p>
        </w:tc>
        <w:tc>
          <w:tcPr>
            <w:tcW w:w="1983"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六、基金份额的申购与赎回</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 xml:space="preserve"> (十二)基金转换</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基金管理人可以根据相关法律法规以及本基金合同的规定决定开办本基金的转换业务，基金转换可以收取一定的转换费，相关规则由基金管理人届时根据相关法律法规及本基金合同的规定制定并公告，并及时告知基金托管人与相关机构。</w:t>
            </w:r>
          </w:p>
        </w:tc>
      </w:tr>
      <w:tr w:rsidR="00BF392E">
        <w:trPr>
          <w:trHeight w:val="1731"/>
        </w:trPr>
        <w:tc>
          <w:tcPr>
            <w:tcW w:w="1093" w:type="pct"/>
            <w:vMerge w:val="restar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大成策略回报混合型证券投资基金</w:t>
            </w:r>
          </w:p>
        </w:tc>
        <w:tc>
          <w:tcPr>
            <w:tcW w:w="1924" w:type="pct"/>
          </w:tcPr>
          <w:p w:rsidR="00BF392E" w:rsidRDefault="001D7E4D">
            <w:pPr>
              <w:pStyle w:val="a5"/>
              <w:spacing w:before="41"/>
              <w:rPr>
                <w:rFonts w:asciiTheme="majorEastAsia" w:eastAsiaTheme="majorEastAsia" w:hAnsiTheme="majorEastAsia" w:cs="Arial"/>
                <w:kern w:val="2"/>
                <w:sz w:val="20"/>
                <w:szCs w:val="22"/>
              </w:rPr>
            </w:pPr>
            <w:bookmarkStart w:id="34" w:name="_Toc122336540"/>
            <w:bookmarkStart w:id="35" w:name="_Toc157322552"/>
            <w:bookmarkStart w:id="36" w:name="_Toc88037837"/>
            <w:r>
              <w:rPr>
                <w:rFonts w:asciiTheme="majorEastAsia" w:eastAsiaTheme="majorEastAsia" w:hAnsiTheme="majorEastAsia" w:cs="Arial"/>
                <w:kern w:val="2"/>
                <w:sz w:val="20"/>
                <w:szCs w:val="22"/>
              </w:rPr>
              <w:t>二、释  义</w:t>
            </w:r>
            <w:bookmarkEnd w:id="34"/>
            <w:bookmarkEnd w:id="35"/>
            <w:bookmarkEnd w:id="36"/>
          </w:p>
          <w:p w:rsidR="00BF392E" w:rsidRDefault="001D7E4D">
            <w:pPr>
              <w:pStyle w:val="a5"/>
              <w:spacing w:before="41"/>
              <w:rPr>
                <w:rFonts w:asciiTheme="majorEastAsia" w:eastAsiaTheme="majorEastAsia" w:hAnsiTheme="majorEastAsia" w:cs="Arial"/>
                <w:b/>
                <w:strike/>
                <w:kern w:val="2"/>
                <w:sz w:val="20"/>
                <w:szCs w:val="22"/>
              </w:rPr>
            </w:pPr>
            <w:r>
              <w:rPr>
                <w:rFonts w:asciiTheme="majorEastAsia" w:eastAsiaTheme="majorEastAsia" w:hAnsiTheme="majorEastAsia" w:cs="Arial"/>
                <w:b/>
                <w:strike/>
                <w:kern w:val="2"/>
                <w:sz w:val="20"/>
                <w:szCs w:val="22"/>
              </w:rPr>
              <w:t>转换：指基金份额持有人按基金管理人规定的条件，申请将其持有的基金管理人管理的某一基金的基金份额转换为该基金管理人管理的另一只基金的基金份额的行为；</w:t>
            </w:r>
          </w:p>
        </w:tc>
        <w:tc>
          <w:tcPr>
            <w:tcW w:w="1983"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二</w:t>
            </w:r>
            <w:r>
              <w:rPr>
                <w:rFonts w:asciiTheme="majorEastAsia" w:eastAsiaTheme="majorEastAsia" w:hAnsiTheme="majorEastAsia" w:cs="Arial" w:hint="eastAsia"/>
                <w:kern w:val="2"/>
                <w:sz w:val="20"/>
                <w:szCs w:val="22"/>
              </w:rPr>
              <w:t>、释义</w:t>
            </w:r>
          </w:p>
          <w:p w:rsidR="00BF392E" w:rsidRDefault="001D7E4D">
            <w:pPr>
              <w:pStyle w:val="a5"/>
              <w:spacing w:before="41"/>
              <w:rPr>
                <w:rFonts w:asciiTheme="majorEastAsia" w:eastAsiaTheme="majorEastAsia" w:hAnsiTheme="majorEastAsia" w:cs="Arial"/>
                <w:b/>
                <w:sz w:val="20"/>
              </w:rPr>
            </w:pPr>
            <w:r>
              <w:rPr>
                <w:rFonts w:asciiTheme="majorEastAsia" w:eastAsiaTheme="majorEastAsia" w:hAnsiTheme="majorEastAsia" w:cs="Arial"/>
                <w:b/>
                <w:kern w:val="2"/>
                <w:sz w:val="20"/>
                <w:szCs w:val="22"/>
              </w:rPr>
              <w:t>基金转换：指基金份额持有人按照本基金合同和基金管理人届时有效公告规定的条件，申请将其持有基金管理人管理的、某一基金的基金份额转换为基金管理人管理的其他基金份额的行为</w:t>
            </w:r>
          </w:p>
        </w:tc>
      </w:tr>
      <w:tr w:rsidR="00BF392E">
        <w:trPr>
          <w:trHeight w:val="1401"/>
        </w:trPr>
        <w:tc>
          <w:tcPr>
            <w:tcW w:w="1093" w:type="pct"/>
            <w:vMerge/>
          </w:tcPr>
          <w:p w:rsidR="00BF392E" w:rsidRDefault="00BF392E">
            <w:pPr>
              <w:pStyle w:val="a5"/>
              <w:spacing w:before="41"/>
              <w:rPr>
                <w:rFonts w:asciiTheme="majorEastAsia" w:eastAsiaTheme="majorEastAsia" w:hAnsiTheme="majorEastAsia" w:cs="Arial"/>
                <w:kern w:val="2"/>
                <w:sz w:val="20"/>
                <w:szCs w:val="22"/>
              </w:rPr>
            </w:pPr>
          </w:p>
        </w:tc>
        <w:tc>
          <w:tcPr>
            <w:tcW w:w="1924" w:type="pct"/>
          </w:tcPr>
          <w:p w:rsidR="00BF392E" w:rsidRDefault="001D7E4D">
            <w:pPr>
              <w:pStyle w:val="a5"/>
              <w:spacing w:before="41"/>
              <w:rPr>
                <w:rFonts w:asciiTheme="majorEastAsia" w:eastAsiaTheme="majorEastAsia" w:hAnsiTheme="majorEastAsia" w:cs="Arial"/>
                <w:kern w:val="2"/>
                <w:sz w:val="20"/>
                <w:szCs w:val="22"/>
              </w:rPr>
            </w:pPr>
            <w:bookmarkStart w:id="37" w:name="_Toc88037838"/>
            <w:bookmarkStart w:id="38" w:name="_Toc157322553"/>
            <w:bookmarkStart w:id="39" w:name="_Toc122336541"/>
            <w:r>
              <w:rPr>
                <w:rFonts w:asciiTheme="majorEastAsia" w:eastAsiaTheme="majorEastAsia" w:hAnsiTheme="majorEastAsia" w:cs="Arial"/>
                <w:kern w:val="2"/>
                <w:sz w:val="20"/>
                <w:szCs w:val="22"/>
              </w:rPr>
              <w:t>三、基金的基本情况</w:t>
            </w:r>
            <w:bookmarkEnd w:id="37"/>
            <w:bookmarkEnd w:id="38"/>
            <w:bookmarkEnd w:id="39"/>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（八）基金份额类别</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投资人可自行选择申购的基金份额类别。</w:t>
            </w:r>
            <w:r>
              <w:rPr>
                <w:rFonts w:asciiTheme="majorEastAsia" w:eastAsiaTheme="majorEastAsia" w:hAnsiTheme="majorEastAsia" w:cs="Arial" w:hint="eastAsia"/>
                <w:b/>
                <w:strike/>
                <w:kern w:val="2"/>
                <w:sz w:val="20"/>
                <w:szCs w:val="22"/>
              </w:rPr>
              <w:t>各类基金份额之间不能转换。</w:t>
            </w:r>
          </w:p>
        </w:tc>
        <w:tc>
          <w:tcPr>
            <w:tcW w:w="1983"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三、基金的基本情况</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（八）基金份额类别</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投资人可自行选择申购的基金份额类别。</w:t>
            </w:r>
          </w:p>
        </w:tc>
      </w:tr>
      <w:tr w:rsidR="00BF392E">
        <w:trPr>
          <w:trHeight w:val="1731"/>
        </w:trPr>
        <w:tc>
          <w:tcPr>
            <w:tcW w:w="1093" w:type="pct"/>
            <w:vMerge/>
          </w:tcPr>
          <w:p w:rsidR="00BF392E" w:rsidRDefault="00BF392E">
            <w:pPr>
              <w:pStyle w:val="a5"/>
              <w:spacing w:before="41"/>
              <w:rPr>
                <w:rFonts w:asciiTheme="majorEastAsia" w:eastAsiaTheme="majorEastAsia" w:hAnsiTheme="majorEastAsia" w:cs="Arial"/>
                <w:kern w:val="2"/>
                <w:sz w:val="20"/>
                <w:szCs w:val="22"/>
              </w:rPr>
            </w:pPr>
          </w:p>
        </w:tc>
        <w:tc>
          <w:tcPr>
            <w:tcW w:w="1924" w:type="pct"/>
          </w:tcPr>
          <w:p w:rsidR="00BF392E" w:rsidRDefault="001D7E4D">
            <w:pPr>
              <w:pStyle w:val="a5"/>
              <w:spacing w:before="41"/>
              <w:rPr>
                <w:rFonts w:asciiTheme="majorEastAsia" w:eastAsiaTheme="majorEastAsia" w:hAnsiTheme="majorEastAsia" w:cs="Arial"/>
                <w:kern w:val="2"/>
                <w:sz w:val="20"/>
                <w:szCs w:val="22"/>
              </w:rPr>
            </w:pPr>
            <w:bookmarkStart w:id="40" w:name="_Toc157322556"/>
            <w:bookmarkStart w:id="41" w:name="_Toc88037841"/>
            <w:bookmarkStart w:id="42" w:name="_Toc122336544"/>
            <w:r>
              <w:rPr>
                <w:rFonts w:asciiTheme="majorEastAsia" w:eastAsiaTheme="majorEastAsia" w:hAnsiTheme="majorEastAsia" w:cs="Arial"/>
                <w:kern w:val="2"/>
                <w:sz w:val="20"/>
                <w:szCs w:val="22"/>
              </w:rPr>
              <w:t>六、基金份额的申购、赎回与转换</w:t>
            </w:r>
            <w:bookmarkEnd w:id="40"/>
            <w:bookmarkEnd w:id="41"/>
            <w:bookmarkEnd w:id="42"/>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（十二）基金转换</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基金管理人可以根据相关法律法规以及本基金合同的规定，</w:t>
            </w:r>
            <w:r>
              <w:rPr>
                <w:rFonts w:asciiTheme="majorEastAsia" w:eastAsiaTheme="majorEastAsia" w:hAnsiTheme="majorEastAsia" w:cs="Arial"/>
                <w:b/>
                <w:strike/>
                <w:kern w:val="2"/>
                <w:sz w:val="20"/>
                <w:szCs w:val="22"/>
              </w:rPr>
              <w:t>在条件成熟的情况下提供本基金与基金管理人管理的其他基金之间的转换服务。</w:t>
            </w:r>
            <w:r>
              <w:rPr>
                <w:rFonts w:asciiTheme="majorEastAsia" w:eastAsiaTheme="majorEastAsia" w:hAnsiTheme="majorEastAsia" w:cs="Arial"/>
                <w:kern w:val="2"/>
                <w:sz w:val="20"/>
                <w:szCs w:val="22"/>
              </w:rPr>
              <w:t>基金转换可以收取一定的转换费，相关规则由基金管理人届时根据相关法律法规及本基金合同的规定制定并公告。</w:t>
            </w:r>
          </w:p>
        </w:tc>
        <w:tc>
          <w:tcPr>
            <w:tcW w:w="1983"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六、基金份额的申购、赎回与转换</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（十二）基金转换</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基金管理人可以根据相关法律法规以及本基金合同的规定</w:t>
            </w:r>
            <w:r>
              <w:rPr>
                <w:rFonts w:asciiTheme="majorEastAsia" w:eastAsiaTheme="majorEastAsia" w:hAnsiTheme="majorEastAsia" w:cs="Arial"/>
                <w:b/>
                <w:kern w:val="2"/>
                <w:sz w:val="20"/>
                <w:szCs w:val="22"/>
              </w:rPr>
              <w:t>决定开办本基金的转换业务，</w:t>
            </w:r>
            <w:r>
              <w:rPr>
                <w:rFonts w:asciiTheme="majorEastAsia" w:eastAsiaTheme="majorEastAsia" w:hAnsiTheme="majorEastAsia" w:cs="Arial"/>
                <w:kern w:val="2"/>
                <w:sz w:val="20"/>
                <w:szCs w:val="22"/>
              </w:rPr>
              <w:t>基金转换可以收取一定的转换费，相关规则由基金管理人届时根据相关法律法规及本基金合同的规定制定并公告</w:t>
            </w:r>
            <w:r>
              <w:rPr>
                <w:rFonts w:asciiTheme="majorEastAsia" w:eastAsiaTheme="majorEastAsia" w:hAnsiTheme="majorEastAsia" w:cs="Arial"/>
                <w:b/>
                <w:kern w:val="2"/>
                <w:sz w:val="20"/>
                <w:szCs w:val="22"/>
              </w:rPr>
              <w:t>，并提前</w:t>
            </w:r>
            <w:r>
              <w:rPr>
                <w:rFonts w:asciiTheme="majorEastAsia" w:eastAsiaTheme="majorEastAsia" w:hAnsiTheme="majorEastAsia" w:cs="Arial" w:hint="eastAsia"/>
                <w:b/>
                <w:kern w:val="2"/>
                <w:sz w:val="20"/>
                <w:szCs w:val="22"/>
              </w:rPr>
              <w:t>在合理时间内</w:t>
            </w:r>
            <w:r>
              <w:rPr>
                <w:rFonts w:asciiTheme="majorEastAsia" w:eastAsiaTheme="majorEastAsia" w:hAnsiTheme="majorEastAsia" w:cs="Arial"/>
                <w:b/>
                <w:kern w:val="2"/>
                <w:sz w:val="20"/>
                <w:szCs w:val="22"/>
              </w:rPr>
              <w:t>告知基金托管人与相关机构</w:t>
            </w:r>
            <w:r>
              <w:rPr>
                <w:rFonts w:asciiTheme="majorEastAsia" w:eastAsiaTheme="majorEastAsia" w:hAnsiTheme="majorEastAsia" w:cs="Arial"/>
                <w:kern w:val="2"/>
                <w:sz w:val="20"/>
                <w:szCs w:val="22"/>
              </w:rPr>
              <w:t>。</w:t>
            </w:r>
          </w:p>
        </w:tc>
      </w:tr>
      <w:tr w:rsidR="00BF392E">
        <w:trPr>
          <w:trHeight w:val="1731"/>
        </w:trPr>
        <w:tc>
          <w:tcPr>
            <w:tcW w:w="1093" w:type="pct"/>
            <w:vMerge/>
          </w:tcPr>
          <w:p w:rsidR="00BF392E" w:rsidRDefault="00BF392E">
            <w:pPr>
              <w:pStyle w:val="a5"/>
              <w:spacing w:before="41"/>
              <w:rPr>
                <w:rFonts w:asciiTheme="majorEastAsia" w:eastAsiaTheme="majorEastAsia" w:hAnsiTheme="majorEastAsia" w:cs="Arial"/>
                <w:kern w:val="2"/>
                <w:sz w:val="20"/>
                <w:szCs w:val="22"/>
              </w:rPr>
            </w:pPr>
          </w:p>
        </w:tc>
        <w:tc>
          <w:tcPr>
            <w:tcW w:w="1924" w:type="pct"/>
          </w:tcPr>
          <w:p w:rsidR="00BF392E" w:rsidRDefault="001D7E4D">
            <w:pPr>
              <w:pStyle w:val="a5"/>
              <w:spacing w:before="41"/>
              <w:rPr>
                <w:rFonts w:asciiTheme="majorEastAsia" w:eastAsiaTheme="majorEastAsia" w:hAnsiTheme="majorEastAsia" w:cs="Arial"/>
                <w:kern w:val="2"/>
                <w:sz w:val="20"/>
                <w:szCs w:val="22"/>
              </w:rPr>
            </w:pPr>
            <w:bookmarkStart w:id="43" w:name="_Toc157322558"/>
            <w:bookmarkStart w:id="44" w:name="_Toc88037842"/>
            <w:bookmarkStart w:id="45" w:name="_Toc122336546"/>
            <w:r>
              <w:rPr>
                <w:rFonts w:asciiTheme="majorEastAsia" w:eastAsiaTheme="majorEastAsia" w:hAnsiTheme="majorEastAsia" w:cs="Arial"/>
                <w:kern w:val="2"/>
                <w:sz w:val="20"/>
                <w:szCs w:val="22"/>
              </w:rPr>
              <w:t>八、基金合同当事人及其权利义务</w:t>
            </w:r>
            <w:bookmarkEnd w:id="43"/>
            <w:bookmarkEnd w:id="44"/>
            <w:bookmarkEnd w:id="45"/>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（二）基金托管人</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1．基金托管人基本情况</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名称：中国光大银行股份有限公司</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住所及办公地址：北京市西城区太平桥大街25 号、甲25 号中国光大中心</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成立日期：</w:t>
            </w:r>
            <w:r>
              <w:rPr>
                <w:rFonts w:asciiTheme="majorEastAsia" w:eastAsiaTheme="majorEastAsia" w:hAnsiTheme="majorEastAsia" w:cs="Arial"/>
                <w:kern w:val="2"/>
                <w:sz w:val="20"/>
                <w:szCs w:val="22"/>
              </w:rPr>
              <w:t>1992</w:t>
            </w:r>
            <w:r>
              <w:rPr>
                <w:rFonts w:asciiTheme="majorEastAsia" w:eastAsiaTheme="majorEastAsia" w:hAnsiTheme="majorEastAsia" w:cs="Arial" w:hint="eastAsia"/>
                <w:kern w:val="2"/>
                <w:sz w:val="20"/>
                <w:szCs w:val="22"/>
              </w:rPr>
              <w:t>年6月</w:t>
            </w:r>
            <w:r>
              <w:rPr>
                <w:rFonts w:asciiTheme="majorEastAsia" w:eastAsiaTheme="majorEastAsia" w:hAnsiTheme="majorEastAsia" w:cs="Arial"/>
                <w:kern w:val="2"/>
                <w:sz w:val="20"/>
                <w:szCs w:val="22"/>
              </w:rPr>
              <w:t>18</w:t>
            </w:r>
            <w:r>
              <w:rPr>
                <w:rFonts w:asciiTheme="majorEastAsia" w:eastAsiaTheme="majorEastAsia" w:hAnsiTheme="majorEastAsia" w:cs="Arial" w:hint="eastAsia"/>
                <w:kern w:val="2"/>
                <w:sz w:val="20"/>
                <w:szCs w:val="22"/>
              </w:rPr>
              <w:t>日</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批准设立机关和批准设立文号：国务院、国函[1992]7号</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组织形式：股份有限公司</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注册资本：</w:t>
            </w:r>
            <w:r>
              <w:rPr>
                <w:rFonts w:asciiTheme="majorEastAsia" w:eastAsiaTheme="majorEastAsia" w:hAnsiTheme="majorEastAsia" w:cs="Arial" w:hint="eastAsia"/>
                <w:b/>
                <w:strike/>
                <w:kern w:val="2"/>
                <w:sz w:val="20"/>
                <w:szCs w:val="22"/>
              </w:rPr>
              <w:t>466.79095</w:t>
            </w:r>
            <w:r>
              <w:rPr>
                <w:rFonts w:asciiTheme="majorEastAsia" w:eastAsiaTheme="majorEastAsia" w:hAnsiTheme="majorEastAsia" w:cs="Arial" w:hint="eastAsia"/>
                <w:kern w:val="2"/>
                <w:sz w:val="20"/>
                <w:szCs w:val="22"/>
              </w:rPr>
              <w:t>亿元人民币</w:t>
            </w:r>
          </w:p>
          <w:p w:rsidR="00BF392E" w:rsidRDefault="001D7E4D">
            <w:pPr>
              <w:pStyle w:val="a5"/>
              <w:spacing w:before="41"/>
              <w:rPr>
                <w:rFonts w:asciiTheme="majorEastAsia" w:eastAsiaTheme="majorEastAsia" w:hAnsiTheme="majorEastAsia" w:cs="Arial"/>
                <w:b/>
                <w:strike/>
                <w:kern w:val="2"/>
                <w:sz w:val="20"/>
                <w:szCs w:val="22"/>
              </w:rPr>
            </w:pPr>
            <w:r>
              <w:rPr>
                <w:rFonts w:asciiTheme="majorEastAsia" w:eastAsiaTheme="majorEastAsia" w:hAnsiTheme="majorEastAsia" w:cs="Arial" w:hint="eastAsia"/>
                <w:kern w:val="2"/>
                <w:sz w:val="20"/>
                <w:szCs w:val="22"/>
              </w:rPr>
              <w:t>法定代表人：</w:t>
            </w:r>
            <w:r>
              <w:rPr>
                <w:rFonts w:asciiTheme="majorEastAsia" w:eastAsiaTheme="majorEastAsia" w:hAnsiTheme="majorEastAsia" w:cs="Arial" w:hint="eastAsia"/>
                <w:b/>
                <w:strike/>
                <w:kern w:val="2"/>
                <w:sz w:val="20"/>
                <w:szCs w:val="22"/>
              </w:rPr>
              <w:t>王江</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b/>
                <w:kern w:val="2"/>
                <w:sz w:val="20"/>
                <w:szCs w:val="22"/>
              </w:rPr>
              <w:t>……</w:t>
            </w:r>
          </w:p>
        </w:tc>
        <w:tc>
          <w:tcPr>
            <w:tcW w:w="1983" w:type="pct"/>
          </w:tcPr>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八、基金合同当事人及其权利义务</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（二）基金托管人</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1．基金托管人基本情况</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名称：中国光大银行股份有限公司</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住所及办公地址：北京市西城区太平桥大街25 号、甲25 号中国光大中心</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成立日期：</w:t>
            </w:r>
            <w:r>
              <w:rPr>
                <w:rFonts w:asciiTheme="majorEastAsia" w:eastAsiaTheme="majorEastAsia" w:hAnsiTheme="majorEastAsia" w:cs="Arial"/>
                <w:kern w:val="2"/>
                <w:sz w:val="20"/>
                <w:szCs w:val="22"/>
              </w:rPr>
              <w:t>1992</w:t>
            </w:r>
            <w:r>
              <w:rPr>
                <w:rFonts w:asciiTheme="majorEastAsia" w:eastAsiaTheme="majorEastAsia" w:hAnsiTheme="majorEastAsia" w:cs="Arial" w:hint="eastAsia"/>
                <w:kern w:val="2"/>
                <w:sz w:val="20"/>
                <w:szCs w:val="22"/>
              </w:rPr>
              <w:t>年6月</w:t>
            </w:r>
            <w:r>
              <w:rPr>
                <w:rFonts w:asciiTheme="majorEastAsia" w:eastAsiaTheme="majorEastAsia" w:hAnsiTheme="majorEastAsia" w:cs="Arial"/>
                <w:kern w:val="2"/>
                <w:sz w:val="20"/>
                <w:szCs w:val="22"/>
              </w:rPr>
              <w:t>18</w:t>
            </w:r>
            <w:r>
              <w:rPr>
                <w:rFonts w:asciiTheme="majorEastAsia" w:eastAsiaTheme="majorEastAsia" w:hAnsiTheme="majorEastAsia" w:cs="Arial" w:hint="eastAsia"/>
                <w:kern w:val="2"/>
                <w:sz w:val="20"/>
                <w:szCs w:val="22"/>
              </w:rPr>
              <w:t>日</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批准设立机关和批准设立文号：国务院、国函[1992]7号</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组织形式：股份有限公司</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注册资本：</w:t>
            </w:r>
            <w:r>
              <w:rPr>
                <w:rFonts w:cs="Times New Roman"/>
                <w:b/>
              </w:rPr>
              <w:t>590.85551</w:t>
            </w:r>
            <w:r>
              <w:rPr>
                <w:rFonts w:asciiTheme="majorEastAsia" w:eastAsiaTheme="majorEastAsia" w:hAnsiTheme="majorEastAsia" w:cs="Arial" w:hint="eastAsia"/>
                <w:kern w:val="2"/>
                <w:sz w:val="20"/>
                <w:szCs w:val="22"/>
              </w:rPr>
              <w:t>亿元人民币</w:t>
            </w:r>
          </w:p>
          <w:p w:rsidR="00BF392E" w:rsidRDefault="001D7E4D">
            <w:pPr>
              <w:pStyle w:val="a5"/>
              <w:spacing w:before="41"/>
              <w:rPr>
                <w:rFonts w:asciiTheme="majorEastAsia" w:eastAsiaTheme="majorEastAsia" w:hAnsiTheme="majorEastAsia" w:cs="Arial"/>
                <w:b/>
                <w:kern w:val="2"/>
                <w:sz w:val="20"/>
                <w:szCs w:val="22"/>
              </w:rPr>
            </w:pPr>
            <w:r>
              <w:rPr>
                <w:rFonts w:asciiTheme="majorEastAsia" w:eastAsiaTheme="majorEastAsia" w:hAnsiTheme="majorEastAsia" w:cs="Arial" w:hint="eastAsia"/>
                <w:kern w:val="2"/>
                <w:sz w:val="20"/>
                <w:szCs w:val="22"/>
              </w:rPr>
              <w:t>法定代表人：</w:t>
            </w:r>
            <w:r>
              <w:rPr>
                <w:rFonts w:asciiTheme="majorEastAsia" w:eastAsiaTheme="majorEastAsia" w:hAnsiTheme="majorEastAsia" w:cs="Arial"/>
                <w:b/>
                <w:kern w:val="2"/>
                <w:sz w:val="20"/>
                <w:szCs w:val="22"/>
              </w:rPr>
              <w:t>吴利军</w:t>
            </w:r>
          </w:p>
          <w:p w:rsidR="00BF392E" w:rsidRDefault="001D7E4D">
            <w:pPr>
              <w:pStyle w:val="a5"/>
              <w:spacing w:before="41"/>
              <w:rPr>
                <w:rFonts w:asciiTheme="majorEastAsia" w:eastAsiaTheme="majorEastAsia" w:hAnsiTheme="majorEastAsia" w:cs="Arial"/>
                <w:kern w:val="2"/>
                <w:sz w:val="20"/>
                <w:szCs w:val="22"/>
              </w:rPr>
            </w:pPr>
            <w:r>
              <w:rPr>
                <w:rFonts w:asciiTheme="majorEastAsia" w:eastAsiaTheme="majorEastAsia" w:hAnsiTheme="majorEastAsia" w:cs="Arial"/>
                <w:b/>
                <w:kern w:val="2"/>
                <w:sz w:val="20"/>
                <w:szCs w:val="22"/>
              </w:rPr>
              <w:t>……</w:t>
            </w:r>
          </w:p>
        </w:tc>
      </w:tr>
    </w:tbl>
    <w:p w:rsidR="00BF392E" w:rsidRDefault="00BF392E">
      <w:pPr>
        <w:pStyle w:val="a5"/>
        <w:spacing w:before="139"/>
        <w:ind w:right="360"/>
        <w:jc w:val="right"/>
        <w:rPr>
          <w:sz w:val="24"/>
          <w:szCs w:val="24"/>
        </w:rPr>
      </w:pPr>
    </w:p>
    <w:sectPr w:rsidR="00BF392E" w:rsidSect="00C6146A">
      <w:headerReference w:type="default" r:id="rId7"/>
      <w:footerReference w:type="default" r:id="rId8"/>
      <w:pgSz w:w="12240" w:h="15840"/>
      <w:pgMar w:top="1380" w:right="1440" w:bottom="920" w:left="1440" w:header="86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E4D" w:rsidRDefault="001D7E4D">
      <w:r>
        <w:separator/>
      </w:r>
    </w:p>
  </w:endnote>
  <w:endnote w:type="continuationSeparator" w:id="0">
    <w:p w:rsidR="001D7E4D" w:rsidRDefault="001D7E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92E" w:rsidRDefault="00C6146A">
    <w:pPr>
      <w:pStyle w:val="a5"/>
      <w:spacing w:line="14" w:lineRule="auto"/>
      <w:rPr>
        <w:sz w:val="20"/>
      </w:rPr>
    </w:pPr>
    <w:r>
      <w:rPr>
        <w:noProof/>
        <w:sz w:val="20"/>
      </w:rPr>
      <w:pict>
        <v:shapetype id="_x0000_t202" coordsize="21600,21600" o:spt="202" path="m,l,21600r21600,l21600,xe">
          <v:stroke joinstyle="miter"/>
          <v:path gradientshapeok="t" o:connecttype="rect"/>
        </v:shapetype>
        <v:shape id="Textbox 3" o:spid="_x0000_s2049" type="#_x0000_t202" style="position:absolute;margin-left:300.7pt;margin-top:744.95pt;width:11.5pt;height:1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" filled="f" stroked="f">
          <v:textbox inset="0,0,0,0">
            <w:txbxContent>
              <w:p w:rsidR="00BF392E" w:rsidRDefault="00C6146A">
                <w:pPr>
                  <w:spacing w:before="12"/>
                  <w:ind w:left="60"/>
                  <w:rPr>
                    <w:rFonts w:ascii="Times New Roman"/>
                    <w:sz w:val="18"/>
                  </w:rPr>
                </w:pPr>
                <w:r>
                  <w:rPr>
                    <w:rFonts w:ascii="Times New Roman"/>
                    <w:spacing w:val="-10"/>
                    <w:sz w:val="18"/>
                  </w:rPr>
                  <w:fldChar w:fldCharType="begin"/>
                </w:r>
                <w:r w:rsidR="001D7E4D">
                  <w:rPr>
                    <w:rFonts w:ascii="Times New Roman"/>
                    <w:spacing w:val="-10"/>
                    <w:sz w:val="18"/>
                  </w:rPr>
                  <w:instrText xml:space="preserve"> PAGE </w:instrText>
                </w:r>
                <w:r>
                  <w:rPr>
                    <w:rFonts w:ascii="Times New Roman"/>
                    <w:spacing w:val="-10"/>
                    <w:sz w:val="18"/>
                  </w:rPr>
                  <w:fldChar w:fldCharType="separate"/>
                </w:r>
                <w:r w:rsidR="00BC40B4">
                  <w:rPr>
                    <w:rFonts w:ascii="Times New Roman"/>
                    <w:noProof/>
                    <w:spacing w:val="-10"/>
                    <w:sz w:val="18"/>
                  </w:rPr>
                  <w:t>1</w:t>
                </w:r>
                <w:r>
                  <w:rPr>
                    <w:rFonts w:ascii="Times New Roman"/>
                    <w:spacing w:val="-10"/>
                    <w:sz w:val="1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E4D" w:rsidRDefault="001D7E4D">
      <w:r>
        <w:separator/>
      </w:r>
    </w:p>
  </w:footnote>
  <w:footnote w:type="continuationSeparator" w:id="0">
    <w:p w:rsidR="001D7E4D" w:rsidRDefault="001D7E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92E" w:rsidRDefault="00BF392E">
    <w:pPr>
      <w:pStyle w:val="a5"/>
      <w:spacing w:line="14" w:lineRule="auto"/>
      <w:rPr>
        <w:sz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
  <w:rsids>
    <w:rsidRoot w:val="00ED5CA3"/>
    <w:rsid w:val="00094D8D"/>
    <w:rsid w:val="000A3960"/>
    <w:rsid w:val="001D7E4D"/>
    <w:rsid w:val="00226808"/>
    <w:rsid w:val="00256F7C"/>
    <w:rsid w:val="002932B6"/>
    <w:rsid w:val="002A0E50"/>
    <w:rsid w:val="00326C83"/>
    <w:rsid w:val="003442F1"/>
    <w:rsid w:val="003B70BD"/>
    <w:rsid w:val="003E554D"/>
    <w:rsid w:val="00406100"/>
    <w:rsid w:val="00411D62"/>
    <w:rsid w:val="004C3F43"/>
    <w:rsid w:val="004F2268"/>
    <w:rsid w:val="00556739"/>
    <w:rsid w:val="005A23BE"/>
    <w:rsid w:val="005B27D4"/>
    <w:rsid w:val="005B439C"/>
    <w:rsid w:val="006430E9"/>
    <w:rsid w:val="00691BF9"/>
    <w:rsid w:val="006931C6"/>
    <w:rsid w:val="006E0064"/>
    <w:rsid w:val="00713988"/>
    <w:rsid w:val="007225DC"/>
    <w:rsid w:val="00771EBE"/>
    <w:rsid w:val="00792E67"/>
    <w:rsid w:val="00831801"/>
    <w:rsid w:val="00834377"/>
    <w:rsid w:val="008447A7"/>
    <w:rsid w:val="008612FF"/>
    <w:rsid w:val="0088371B"/>
    <w:rsid w:val="008E3051"/>
    <w:rsid w:val="009360C4"/>
    <w:rsid w:val="00956616"/>
    <w:rsid w:val="00970103"/>
    <w:rsid w:val="00975882"/>
    <w:rsid w:val="00984457"/>
    <w:rsid w:val="009C74D6"/>
    <w:rsid w:val="009E53E8"/>
    <w:rsid w:val="009F148D"/>
    <w:rsid w:val="009F483D"/>
    <w:rsid w:val="00A03D3F"/>
    <w:rsid w:val="00A236FC"/>
    <w:rsid w:val="00A402D8"/>
    <w:rsid w:val="00A55FF4"/>
    <w:rsid w:val="00A7465C"/>
    <w:rsid w:val="00A862E9"/>
    <w:rsid w:val="00AD2456"/>
    <w:rsid w:val="00B35542"/>
    <w:rsid w:val="00BB32FE"/>
    <w:rsid w:val="00BC08B4"/>
    <w:rsid w:val="00BC40B4"/>
    <w:rsid w:val="00BC4655"/>
    <w:rsid w:val="00BF392E"/>
    <w:rsid w:val="00C232B9"/>
    <w:rsid w:val="00C6146A"/>
    <w:rsid w:val="00C754E4"/>
    <w:rsid w:val="00C86F96"/>
    <w:rsid w:val="00D05EE2"/>
    <w:rsid w:val="00D06CD5"/>
    <w:rsid w:val="00D13820"/>
    <w:rsid w:val="00D30032"/>
    <w:rsid w:val="00D57669"/>
    <w:rsid w:val="00DC0697"/>
    <w:rsid w:val="00E32A4C"/>
    <w:rsid w:val="00E60D61"/>
    <w:rsid w:val="00EA5643"/>
    <w:rsid w:val="00ED5CA3"/>
    <w:rsid w:val="00EF1E94"/>
    <w:rsid w:val="00F83E64"/>
    <w:rsid w:val="00FC5629"/>
    <w:rsid w:val="77DF88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caption" w:uiPriority="35" w:qFormat="1"/>
    <w:lsdException w:name="Title" w:semiHidden="0" w:uiPriority="1"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6146A"/>
    <w:pPr>
      <w:widowControl w:val="0"/>
      <w:autoSpaceDE w:val="0"/>
      <w:autoSpaceDN w:val="0"/>
    </w:pPr>
    <w:rPr>
      <w:rFonts w:ascii="宋体" w:eastAsia="宋体" w:hAnsi="宋体" w:cs="宋体"/>
      <w:sz w:val="22"/>
      <w:szCs w:val="22"/>
    </w:rPr>
  </w:style>
  <w:style w:type="paragraph" w:styleId="2">
    <w:name w:val="heading 2"/>
    <w:basedOn w:val="a"/>
    <w:next w:val="a"/>
    <w:link w:val="2Char"/>
    <w:qFormat/>
    <w:rsid w:val="00C6146A"/>
    <w:pPr>
      <w:keepNext/>
      <w:keepLines/>
      <w:autoSpaceDE/>
      <w:autoSpaceDN/>
      <w:spacing w:before="200" w:after="200" w:line="360" w:lineRule="auto"/>
      <w:jc w:val="both"/>
      <w:outlineLvl w:val="1"/>
    </w:pPr>
    <w:rPr>
      <w:rFonts w:ascii="Arial" w:hAnsi="Arial" w:cs="Times New Roman"/>
      <w:b/>
      <w:kern w:val="2"/>
      <w:sz w:val="24"/>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C6146A"/>
    <w:pPr>
      <w:shd w:val="clear" w:color="auto" w:fill="000080"/>
      <w:autoSpaceDE/>
      <w:autoSpaceDN/>
      <w:jc w:val="both"/>
    </w:pPr>
    <w:rPr>
      <w:rFonts w:ascii="Times New Roman" w:hAnsi="Times New Roman" w:cs="Times New Roman"/>
      <w:kern w:val="2"/>
      <w:sz w:val="21"/>
      <w:szCs w:val="20"/>
    </w:rPr>
  </w:style>
  <w:style w:type="paragraph" w:styleId="a4">
    <w:name w:val="annotation text"/>
    <w:basedOn w:val="a"/>
    <w:link w:val="Char0"/>
    <w:qFormat/>
    <w:rsid w:val="00C6146A"/>
    <w:pPr>
      <w:autoSpaceDE/>
      <w:autoSpaceDN/>
    </w:pPr>
    <w:rPr>
      <w:rFonts w:ascii="Times New Roman" w:hAnsi="Times New Roman" w:cs="Times New Roman"/>
      <w:kern w:val="2"/>
      <w:sz w:val="21"/>
      <w:szCs w:val="20"/>
    </w:rPr>
  </w:style>
  <w:style w:type="paragraph" w:styleId="a5">
    <w:name w:val="Body Text"/>
    <w:basedOn w:val="a"/>
    <w:link w:val="Char1"/>
    <w:uiPriority w:val="1"/>
    <w:qFormat/>
    <w:rsid w:val="00C6146A"/>
    <w:rPr>
      <w:sz w:val="21"/>
      <w:szCs w:val="21"/>
    </w:rPr>
  </w:style>
  <w:style w:type="paragraph" w:styleId="a6">
    <w:name w:val="Title"/>
    <w:basedOn w:val="a"/>
    <w:uiPriority w:val="1"/>
    <w:qFormat/>
    <w:rsid w:val="00C6146A"/>
    <w:rPr>
      <w:sz w:val="24"/>
      <w:szCs w:val="24"/>
    </w:rPr>
  </w:style>
  <w:style w:type="table" w:styleId="a7">
    <w:name w:val="Table Grid"/>
    <w:basedOn w:val="a1"/>
    <w:uiPriority w:val="39"/>
    <w:rsid w:val="00C614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C6146A"/>
    <w:tblPr>
      <w:tblCellMar>
        <w:top w:w="0" w:type="dxa"/>
        <w:left w:w="0" w:type="dxa"/>
        <w:bottom w:w="0" w:type="dxa"/>
        <w:right w:w="0" w:type="dxa"/>
      </w:tblCellMar>
    </w:tblPr>
  </w:style>
  <w:style w:type="paragraph" w:styleId="a8">
    <w:name w:val="List Paragraph"/>
    <w:basedOn w:val="a"/>
    <w:uiPriority w:val="1"/>
    <w:qFormat/>
    <w:rsid w:val="00C6146A"/>
  </w:style>
  <w:style w:type="paragraph" w:customStyle="1" w:styleId="TableParagraph">
    <w:name w:val="Table Paragraph"/>
    <w:basedOn w:val="a"/>
    <w:uiPriority w:val="1"/>
    <w:qFormat/>
    <w:rsid w:val="00C6146A"/>
    <w:pPr>
      <w:ind w:left="8"/>
      <w:jc w:val="center"/>
    </w:pPr>
  </w:style>
  <w:style w:type="character" w:customStyle="1" w:styleId="Char1">
    <w:name w:val="正文文本 Char"/>
    <w:basedOn w:val="a0"/>
    <w:link w:val="a5"/>
    <w:uiPriority w:val="1"/>
    <w:rsid w:val="00C6146A"/>
    <w:rPr>
      <w:rFonts w:ascii="宋体" w:eastAsia="宋体" w:hAnsi="宋体" w:cs="宋体"/>
      <w:sz w:val="21"/>
      <w:szCs w:val="21"/>
      <w:lang w:eastAsia="zh-CN"/>
    </w:rPr>
  </w:style>
  <w:style w:type="character" w:customStyle="1" w:styleId="Char">
    <w:name w:val="文档结构图 Char"/>
    <w:basedOn w:val="a0"/>
    <w:link w:val="a3"/>
    <w:rsid w:val="00C6146A"/>
    <w:rPr>
      <w:rFonts w:ascii="Times New Roman" w:eastAsia="宋体" w:hAnsi="Times New Roman" w:cs="Times New Roman"/>
      <w:kern w:val="2"/>
      <w:sz w:val="21"/>
      <w:szCs w:val="20"/>
      <w:shd w:val="clear" w:color="auto" w:fill="000080"/>
      <w:lang w:eastAsia="zh-CN"/>
    </w:rPr>
  </w:style>
  <w:style w:type="character" w:customStyle="1" w:styleId="Char0">
    <w:name w:val="批注文字 Char"/>
    <w:basedOn w:val="a0"/>
    <w:link w:val="a4"/>
    <w:rsid w:val="00C6146A"/>
    <w:rPr>
      <w:rFonts w:ascii="Times New Roman" w:eastAsia="宋体" w:hAnsi="Times New Roman" w:cs="Times New Roman"/>
      <w:kern w:val="2"/>
      <w:sz w:val="21"/>
      <w:szCs w:val="20"/>
      <w:lang w:eastAsia="zh-CN"/>
    </w:rPr>
  </w:style>
  <w:style w:type="character" w:customStyle="1" w:styleId="2Char">
    <w:name w:val="标题 2 Char"/>
    <w:basedOn w:val="a0"/>
    <w:link w:val="2"/>
    <w:qFormat/>
    <w:rsid w:val="00C6146A"/>
    <w:rPr>
      <w:rFonts w:ascii="Arial" w:eastAsia="宋体" w:hAnsi="Arial" w:cs="Times New Roman"/>
      <w:b/>
      <w:kern w:val="2"/>
      <w:sz w:val="24"/>
      <w:szCs w:val="20"/>
      <w:lang w:val="zh-CN"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1319</Words>
  <Characters>7524</Characters>
  <Application>Microsoft Office Word</Application>
  <DocSecurity>4</DocSecurity>
  <Lines>62</Lines>
  <Paragraphs>17</Paragraphs>
  <ScaleCrop>false</ScaleCrop>
  <Company/>
  <LinksUpToDate>false</LinksUpToDate>
  <CharactersWithSpaces>8826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lism</dc:creator>
  <cp:lastModifiedBy>ZHONGM</cp:lastModifiedBy>
  <cp:revision>2</cp:revision>
  <dcterms:created xsi:type="dcterms:W3CDTF">2025-06-13T16:01:00Z</dcterms:created>
  <dcterms:modified xsi:type="dcterms:W3CDTF">2025-06-13T16:01:00Z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WPS 文字</vt:lpwstr>
  </property>
  <property fmtid="{D5CDD505-2E9C-101B-9397-08002B2CF9AE}" pid="4" name="LastSaved">
    <vt:filetime>2025-02-28T00:00:00Z</vt:filetime>
  </property>
  <property fmtid="{D5CDD505-2E9C-101B-9397-08002B2CF9AE}" pid="5" name="SourceModified">
    <vt:lpwstr>D:20250115185800+10'58'</vt:lpwstr>
  </property>
  <property fmtid="{D5CDD505-2E9C-101B-9397-08002B2CF9AE}" pid="6" name="KSOProductBuildVer">
    <vt:lpwstr>2052-11.8.2.10170</vt:lpwstr>
  </property>
</Properties>
</file>