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EA" w:rsidRDefault="00180211">
      <w:pPr>
        <w:pStyle w:val="Default"/>
        <w:spacing w:line="360" w:lineRule="auto"/>
        <w:jc w:val="center"/>
        <w:rPr>
          <w:b/>
          <w:sz w:val="28"/>
          <w:szCs w:val="23"/>
        </w:rPr>
      </w:pPr>
      <w:bookmarkStart w:id="0" w:name="_GoBack"/>
      <w:bookmarkEnd w:id="0"/>
      <w:r>
        <w:rPr>
          <w:rFonts w:hint="eastAsia"/>
          <w:b/>
          <w:sz w:val="28"/>
          <w:szCs w:val="23"/>
        </w:rPr>
        <w:t>中银基金管理有限公司关于更新旗下公募基金风险等级的公告</w:t>
      </w:r>
    </w:p>
    <w:p w:rsidR="00682BEA" w:rsidRDefault="00682BEA">
      <w:pPr>
        <w:pStyle w:val="Default"/>
        <w:snapToGrid w:val="0"/>
        <w:spacing w:line="360" w:lineRule="auto"/>
        <w:ind w:firstLineChars="200" w:firstLine="480"/>
        <w:rPr>
          <w:szCs w:val="21"/>
        </w:rPr>
      </w:pPr>
    </w:p>
    <w:p w:rsidR="00682BEA" w:rsidRDefault="00180211">
      <w:pPr>
        <w:pStyle w:val="Default"/>
        <w:snapToGrid w:val="0"/>
        <w:spacing w:line="360" w:lineRule="auto"/>
        <w:ind w:firstLineChars="200" w:firstLine="480"/>
        <w:rPr>
          <w:szCs w:val="21"/>
        </w:rPr>
      </w:pPr>
      <w:r>
        <w:rPr>
          <w:rFonts w:hint="eastAsia"/>
          <w:szCs w:val="21"/>
        </w:rPr>
        <w:t>根据《证券期货投资者适当性管理办法》、《基金募集机构投资者适当性管理实施指引（试行）》等相关规定，中银基金管理有限公司（以下简称“本公司”）对旗下公募基金产品风险等级进行了评估。根据此次产品风险等级评估结果，本公司将于</w:t>
      </w:r>
      <w:r>
        <w:rPr>
          <w:szCs w:val="21"/>
        </w:rPr>
        <w:t>2025</w:t>
      </w:r>
      <w:r>
        <w:rPr>
          <w:szCs w:val="21"/>
        </w:rPr>
        <w:t>年</w:t>
      </w:r>
      <w:r>
        <w:rPr>
          <w:szCs w:val="21"/>
        </w:rPr>
        <w:t>6</w:t>
      </w:r>
      <w:r>
        <w:rPr>
          <w:szCs w:val="21"/>
        </w:rPr>
        <w:t>月</w:t>
      </w:r>
      <w:r>
        <w:rPr>
          <w:szCs w:val="21"/>
        </w:rPr>
        <w:t>12</w:t>
      </w:r>
      <w:r>
        <w:rPr>
          <w:szCs w:val="21"/>
        </w:rPr>
        <w:t>日</w:t>
      </w:r>
      <w:r>
        <w:rPr>
          <w:rFonts w:hint="eastAsia"/>
          <w:szCs w:val="21"/>
        </w:rPr>
        <w:t>更新旗下公募基金的风险等级，详见附件。</w:t>
      </w:r>
    </w:p>
    <w:p w:rsidR="00682BEA" w:rsidRDefault="00180211">
      <w:pPr>
        <w:pStyle w:val="Default"/>
        <w:snapToGrid w:val="0"/>
        <w:spacing w:line="360" w:lineRule="auto"/>
        <w:ind w:firstLineChars="200" w:firstLine="480"/>
        <w:jc w:val="both"/>
        <w:rPr>
          <w:szCs w:val="21"/>
        </w:rPr>
      </w:pPr>
      <w:r>
        <w:rPr>
          <w:rFonts w:hint="eastAsia"/>
          <w:szCs w:val="21"/>
        </w:rPr>
        <w:t>投资者可登录本公司官网（</w:t>
      </w:r>
      <w:r>
        <w:rPr>
          <w:szCs w:val="21"/>
        </w:rPr>
        <w:t>www.bocim.com</w:t>
      </w:r>
      <w:r>
        <w:rPr>
          <w:rFonts w:hint="eastAsia"/>
          <w:szCs w:val="21"/>
        </w:rPr>
        <w:t>）查询、了解风险等级评定方法及</w:t>
      </w:r>
      <w:r>
        <w:rPr>
          <w:szCs w:val="21"/>
        </w:rPr>
        <w:t>各</w:t>
      </w:r>
      <w:r>
        <w:rPr>
          <w:rFonts w:hint="eastAsia"/>
          <w:szCs w:val="21"/>
        </w:rPr>
        <w:t>公募基金的风险等级，或拨打本公司客服热线</w:t>
      </w:r>
      <w:r>
        <w:rPr>
          <w:rFonts w:hint="eastAsia"/>
          <w:szCs w:val="21"/>
        </w:rPr>
        <w:t>400-888-5566</w:t>
      </w:r>
      <w:r>
        <w:rPr>
          <w:szCs w:val="21"/>
        </w:rPr>
        <w:t>/</w:t>
      </w:r>
      <w:r>
        <w:rPr>
          <w:rFonts w:hint="eastAsia"/>
          <w:szCs w:val="21"/>
        </w:rPr>
        <w:t>021-38834788</w:t>
      </w:r>
      <w:r>
        <w:rPr>
          <w:rFonts w:hint="eastAsia"/>
          <w:szCs w:val="21"/>
        </w:rPr>
        <w:t>咨询详情。</w:t>
      </w:r>
    </w:p>
    <w:p w:rsidR="00682BEA" w:rsidRDefault="00682BEA">
      <w:pPr>
        <w:pStyle w:val="Default"/>
        <w:spacing w:line="360" w:lineRule="auto"/>
        <w:ind w:firstLineChars="200" w:firstLine="480"/>
        <w:rPr>
          <w:szCs w:val="21"/>
        </w:rPr>
      </w:pPr>
    </w:p>
    <w:p w:rsidR="00682BEA" w:rsidRDefault="00180211">
      <w:pPr>
        <w:pStyle w:val="Default"/>
        <w:spacing w:line="360" w:lineRule="auto"/>
        <w:ind w:firstLineChars="200" w:firstLine="480"/>
        <w:rPr>
          <w:szCs w:val="21"/>
        </w:rPr>
      </w:pPr>
      <w:r>
        <w:rPr>
          <w:rFonts w:hint="eastAsia"/>
          <w:szCs w:val="21"/>
        </w:rPr>
        <w:t>风险提示：</w:t>
      </w:r>
    </w:p>
    <w:p w:rsidR="00682BEA" w:rsidRDefault="00180211">
      <w:pPr>
        <w:pStyle w:val="Default"/>
        <w:spacing w:line="360" w:lineRule="auto"/>
        <w:ind w:firstLineChars="200" w:firstLine="480"/>
        <w:rPr>
          <w:szCs w:val="21"/>
        </w:rPr>
      </w:pPr>
      <w:r>
        <w:rPr>
          <w:szCs w:val="21"/>
        </w:rPr>
        <w:t>1</w:t>
      </w:r>
      <w:r>
        <w:rPr>
          <w:szCs w:val="21"/>
        </w:rPr>
        <w:t>、</w:t>
      </w:r>
      <w:r>
        <w:rPr>
          <w:rFonts w:hint="eastAsia"/>
          <w:szCs w:val="21"/>
        </w:rPr>
        <w:t>销售机构</w:t>
      </w:r>
      <w:r>
        <w:rPr>
          <w:rFonts w:hint="eastAsia"/>
          <w:szCs w:val="21"/>
        </w:rPr>
        <w:t>(</w:t>
      </w:r>
      <w:r>
        <w:rPr>
          <w:rFonts w:hint="eastAsia"/>
          <w:szCs w:val="21"/>
        </w:rPr>
        <w:t>包括直销机构和其他销售机构</w:t>
      </w:r>
      <w:r>
        <w:rPr>
          <w:rFonts w:hint="eastAsia"/>
          <w:szCs w:val="21"/>
        </w:rPr>
        <w:t>)</w:t>
      </w:r>
      <w:r>
        <w:rPr>
          <w:rFonts w:hint="eastAsia"/>
          <w:szCs w:val="21"/>
        </w:rPr>
        <w:t>根据投资者适当性法律法规对基金进行风险评价，不同的销售机构采用的评价方法不同，因此不同销售机构对基金的风险等级评价结果可能存在不同。</w:t>
      </w:r>
    </w:p>
    <w:p w:rsidR="00682BEA" w:rsidRDefault="00180211">
      <w:pPr>
        <w:pStyle w:val="Default"/>
        <w:spacing w:line="360" w:lineRule="auto"/>
        <w:ind w:firstLineChars="200" w:firstLine="480"/>
        <w:rPr>
          <w:szCs w:val="21"/>
        </w:rPr>
      </w:pPr>
      <w:r>
        <w:rPr>
          <w:szCs w:val="21"/>
        </w:rPr>
        <w:t>2</w:t>
      </w:r>
      <w:r>
        <w:rPr>
          <w:szCs w:val="21"/>
        </w:rPr>
        <w:t>、</w:t>
      </w:r>
      <w:r>
        <w:rPr>
          <w:rFonts w:hint="eastAsia"/>
          <w:szCs w:val="21"/>
        </w:rPr>
        <w:t>投资者购买基金后，所购买的基金产品风险等级可能因市场或运作情况等影响而发生调整，并可能超出投资者自身风险承受能力，从而可能产生不利后果和损失。投资者应及时关注基金风险等级的变化并谨慎决策，以确保自身的投资决策与风险承受能力相匹配。</w:t>
      </w:r>
    </w:p>
    <w:p w:rsidR="00682BEA" w:rsidRDefault="00180211">
      <w:pPr>
        <w:pStyle w:val="Default"/>
        <w:spacing w:line="360" w:lineRule="auto"/>
        <w:ind w:firstLineChars="200" w:firstLine="480"/>
        <w:rPr>
          <w:szCs w:val="21"/>
        </w:rPr>
      </w:pPr>
      <w:r>
        <w:rPr>
          <w:rFonts w:hint="eastAsia"/>
          <w:szCs w:val="21"/>
        </w:rPr>
        <w:t>本公司承诺以诚实信用、勤勉尽责的原则管理和运用基金</w:t>
      </w:r>
      <w:r>
        <w:rPr>
          <w:rFonts w:hint="eastAsia"/>
          <w:szCs w:val="21"/>
        </w:rPr>
        <w:t>资产，但不保证基金一定盈利，也不保证最低收益，在市场波动等因素的影响下，基金投资存在本金损失的风险。投资有风险，基金管理人管理的其他基金的业绩不构成对本基金业绩表现的保证。基金管理人提醒投资者基金投资的“买者自负”原则，在做出投资决策后，基金运营状况与基金净值变化引致的投资风险，由投资者自行负担。投资者投资基金前应认真阅读基金合同、招募说明书、产品资料概要等法律文件，了解拟投资基金的风险收益特征，根据自身投资目的、投资期限、投资经验、资产状况等判断基金是否和投资者的风险承受能力相匹配，并按照销售机构的要求完</w:t>
      </w:r>
      <w:r>
        <w:rPr>
          <w:rFonts w:hint="eastAsia"/>
          <w:szCs w:val="21"/>
        </w:rPr>
        <w:t>成风险承受能力与产品风险之间的匹配检验。</w:t>
      </w:r>
    </w:p>
    <w:p w:rsidR="00682BEA" w:rsidRDefault="00180211">
      <w:pPr>
        <w:pStyle w:val="Default"/>
        <w:spacing w:line="360" w:lineRule="auto"/>
        <w:ind w:firstLineChars="200" w:firstLine="480"/>
        <w:rPr>
          <w:szCs w:val="21"/>
        </w:rPr>
      </w:pPr>
      <w:r>
        <w:rPr>
          <w:rFonts w:hint="eastAsia"/>
          <w:szCs w:val="21"/>
        </w:rPr>
        <w:t>特此公告。</w:t>
      </w:r>
    </w:p>
    <w:p w:rsidR="00682BEA" w:rsidRDefault="00180211">
      <w:pPr>
        <w:pStyle w:val="Default"/>
        <w:spacing w:line="360" w:lineRule="auto"/>
        <w:ind w:firstLineChars="200" w:firstLine="480"/>
        <w:jc w:val="right"/>
        <w:rPr>
          <w:szCs w:val="21"/>
        </w:rPr>
      </w:pPr>
      <w:r>
        <w:rPr>
          <w:rFonts w:hint="eastAsia"/>
          <w:szCs w:val="21"/>
        </w:rPr>
        <w:t>中银基金管理有限公司</w:t>
      </w:r>
    </w:p>
    <w:p w:rsidR="00682BEA" w:rsidRDefault="00180211">
      <w:pPr>
        <w:spacing w:line="360" w:lineRule="auto"/>
        <w:ind w:firstLineChars="200" w:firstLine="480"/>
        <w:jc w:val="right"/>
        <w:rPr>
          <w:rFonts w:ascii="Times New Roman" w:hAnsi="Times New Roman" w:cs="Times New Roman"/>
          <w:sz w:val="24"/>
          <w:szCs w:val="21"/>
        </w:rPr>
      </w:pPr>
      <w:r>
        <w:rPr>
          <w:rFonts w:ascii="Times New Roman" w:hAnsi="Times New Roman" w:cs="Times New Roman"/>
          <w:sz w:val="24"/>
          <w:szCs w:val="21"/>
        </w:rPr>
        <w:t>2025</w:t>
      </w:r>
      <w:r>
        <w:rPr>
          <w:rFonts w:ascii="Times New Roman" w:hAnsi="Times New Roman" w:cs="Times New Roman"/>
          <w:sz w:val="24"/>
          <w:szCs w:val="21"/>
        </w:rPr>
        <w:t>年</w:t>
      </w:r>
      <w:r>
        <w:rPr>
          <w:rFonts w:ascii="Times New Roman" w:hAnsi="Times New Roman" w:cs="Times New Roman"/>
          <w:sz w:val="24"/>
          <w:szCs w:val="21"/>
        </w:rPr>
        <w:t>6</w:t>
      </w:r>
      <w:r>
        <w:rPr>
          <w:rFonts w:ascii="Times New Roman" w:hAnsi="Times New Roman" w:cs="Times New Roman"/>
          <w:sz w:val="24"/>
          <w:szCs w:val="21"/>
        </w:rPr>
        <w:t>月</w:t>
      </w:r>
      <w:r>
        <w:rPr>
          <w:rFonts w:ascii="Times New Roman" w:hAnsi="Times New Roman" w:cs="Times New Roman"/>
          <w:sz w:val="24"/>
          <w:szCs w:val="21"/>
        </w:rPr>
        <w:t>12</w:t>
      </w:r>
      <w:r>
        <w:rPr>
          <w:rFonts w:ascii="Times New Roman" w:hAnsi="Times New Roman" w:cs="Times New Roman"/>
          <w:sz w:val="24"/>
          <w:szCs w:val="21"/>
        </w:rPr>
        <w:t>日</w:t>
      </w:r>
    </w:p>
    <w:p w:rsidR="00682BEA" w:rsidRDefault="00180211">
      <w:pPr>
        <w:widowControl/>
        <w:jc w:val="left"/>
        <w:rPr>
          <w:rFonts w:ascii="Times New Roman" w:hAnsi="Times New Roman" w:cs="Times New Roman"/>
          <w:sz w:val="24"/>
          <w:szCs w:val="21"/>
        </w:rPr>
      </w:pPr>
      <w:r>
        <w:rPr>
          <w:rFonts w:ascii="Times New Roman" w:hAnsi="Times New Roman" w:cs="Times New Roman"/>
          <w:sz w:val="24"/>
          <w:szCs w:val="21"/>
        </w:rPr>
        <w:br w:type="page"/>
      </w:r>
    </w:p>
    <w:p w:rsidR="00682BEA" w:rsidRDefault="00180211">
      <w:pPr>
        <w:spacing w:line="360" w:lineRule="auto"/>
        <w:ind w:firstLineChars="200" w:firstLine="480"/>
        <w:jc w:val="left"/>
        <w:rPr>
          <w:sz w:val="24"/>
        </w:rPr>
      </w:pPr>
      <w:r>
        <w:rPr>
          <w:rFonts w:hint="eastAsia"/>
          <w:sz w:val="24"/>
        </w:rPr>
        <w:lastRenderedPageBreak/>
        <w:t>附件：</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6091"/>
        <w:gridCol w:w="2414"/>
      </w:tblGrid>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序号</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基金名称</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风险等级</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中银景元回报混合型证券投资基金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中银景福回报混合型证券投资基金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中银嘉享</w:t>
            </w:r>
            <w:r>
              <w:rPr>
                <w:rFonts w:ascii="宋体" w:hint="eastAsia"/>
                <w:color w:val="000000"/>
                <w:position w:val="-1"/>
              </w:rPr>
              <w:t>3</w:t>
            </w:r>
            <w:r>
              <w:rPr>
                <w:rFonts w:ascii="宋体" w:hint="eastAsia"/>
                <w:color w:val="000000"/>
                <w:position w:val="-1"/>
              </w:rPr>
              <w:t>个月定期开放债券型证券投资基金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中银中证</w:t>
            </w:r>
            <w:r>
              <w:rPr>
                <w:rFonts w:ascii="宋体" w:hint="eastAsia"/>
                <w:color w:val="000000"/>
                <w:position w:val="-1"/>
              </w:rPr>
              <w:t>500</w:t>
            </w:r>
            <w:r>
              <w:rPr>
                <w:rFonts w:ascii="宋体" w:hint="eastAsia"/>
                <w:color w:val="000000"/>
                <w:position w:val="-1"/>
              </w:rPr>
              <w:t>指数增强型发起式证券投资基金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中银聚享债券型证券投资基金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中银转债增强债券型证券投资基金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中银主题策略混合型证券投资基金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中银惠利纯债半年定期开放债券型证券投资基金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中银鑫盛一年持有期债券型证券投资基金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中银如意宝货币市场基金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低风险</w:t>
            </w:r>
            <w:r>
              <w:rPr>
                <w:rFonts w:hint="eastAsia"/>
              </w:rPr>
              <w:t>(R1)</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中银丰和定期开放债券型发起式证券投资基金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中银新经济灵活配置混合型证券投资基金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中银新机遇灵活配置混合型证券投资基金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中银永利半年定期开放债券型证券投资基金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中银季季红定期开放债券型证券投资基金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中银信享定期开放债券型发起式证券投资基金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中银周期优选混合型发起式证券投资基金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中银中证</w:t>
            </w:r>
            <w:r>
              <w:rPr>
                <w:rFonts w:ascii="宋体" w:hint="eastAsia"/>
                <w:color w:val="000000"/>
                <w:position w:val="-1"/>
              </w:rPr>
              <w:t>1000</w:t>
            </w:r>
            <w:r>
              <w:rPr>
                <w:rFonts w:ascii="宋体" w:hint="eastAsia"/>
                <w:color w:val="000000"/>
                <w:position w:val="-1"/>
              </w:rPr>
              <w:t>指数增强型证券投资基金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中银数字经济混合型证券投资基金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20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中银慧泽平衡</w:t>
            </w:r>
            <w:r>
              <w:rPr>
                <w:rFonts w:ascii="宋体" w:hint="eastAsia"/>
                <w:color w:val="000000"/>
                <w:position w:val="-1"/>
              </w:rPr>
              <w:t>3</w:t>
            </w:r>
            <w:r>
              <w:rPr>
                <w:rFonts w:ascii="宋体" w:hint="eastAsia"/>
                <w:color w:val="000000"/>
                <w:position w:val="-1"/>
              </w:rPr>
              <w:t>个月持有期混合型发起式基金中基金（</w:t>
            </w:r>
            <w:r>
              <w:rPr>
                <w:rFonts w:ascii="宋体" w:hint="eastAsia"/>
                <w:color w:val="000000"/>
                <w:position w:val="-1"/>
              </w:rPr>
              <w:t>FOF</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21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中银添禧丰禄稳健养老目标一年持有期混合型基金中基金（</w:t>
            </w:r>
            <w:r>
              <w:rPr>
                <w:rFonts w:ascii="宋体" w:hint="eastAsia"/>
                <w:color w:val="000000"/>
                <w:position w:val="-1"/>
              </w:rPr>
              <w:t>FOF</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22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中银远见成长混合型证券投资基金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23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中银汇享债券型证券投资基金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24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中银医疗保健灵活配置混合型证券投资基金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25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中银上海金交易型开放式证券投资基金联接基金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26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中银中证同业存单</w:t>
            </w:r>
            <w:r>
              <w:rPr>
                <w:rFonts w:ascii="宋体" w:hint="eastAsia"/>
                <w:color w:val="000000"/>
                <w:position w:val="-1"/>
              </w:rPr>
              <w:t>AAA</w:t>
            </w:r>
            <w:r>
              <w:rPr>
                <w:rFonts w:ascii="宋体" w:hint="eastAsia"/>
                <w:color w:val="000000"/>
                <w:position w:val="-1"/>
              </w:rPr>
              <w:t>指数</w:t>
            </w:r>
            <w:r>
              <w:rPr>
                <w:rFonts w:ascii="宋体" w:hint="eastAsia"/>
                <w:color w:val="000000"/>
                <w:position w:val="-1"/>
              </w:rPr>
              <w:t>7</w:t>
            </w:r>
            <w:r>
              <w:rPr>
                <w:rFonts w:ascii="宋体" w:hint="eastAsia"/>
                <w:color w:val="000000"/>
                <w:position w:val="-1"/>
              </w:rPr>
              <w:t>天持有期证券投资基金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低风险</w:t>
            </w:r>
            <w:r>
              <w:rPr>
                <w:rFonts w:hint="eastAsia"/>
              </w:rPr>
              <w:t>(R1)</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27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中银恒悦</w:t>
            </w:r>
            <w:r>
              <w:rPr>
                <w:rFonts w:ascii="宋体" w:hint="eastAsia"/>
                <w:color w:val="000000"/>
                <w:position w:val="-1"/>
              </w:rPr>
              <w:t>180</w:t>
            </w:r>
            <w:r>
              <w:rPr>
                <w:rFonts w:ascii="宋体" w:hint="eastAsia"/>
                <w:color w:val="000000"/>
                <w:position w:val="-1"/>
              </w:rPr>
              <w:t>天持有期债券型证券投资基金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28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中银添盛</w:t>
            </w:r>
            <w:r>
              <w:rPr>
                <w:rFonts w:ascii="宋体" w:hint="eastAsia"/>
                <w:color w:val="000000"/>
                <w:position w:val="-1"/>
              </w:rPr>
              <w:t>39</w:t>
            </w:r>
            <w:r>
              <w:rPr>
                <w:rFonts w:ascii="宋体" w:hint="eastAsia"/>
                <w:color w:val="000000"/>
                <w:position w:val="-1"/>
              </w:rPr>
              <w:t>个月定期开放债券型证券投资基金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29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中银稳汇短债债券型证券投资基金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30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中银稳健双利债券型证券投资基金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31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中银中小盘成长混合型证券投资基金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32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w:t>
            </w:r>
            <w:r>
              <w:rPr>
                <w:rFonts w:ascii="宋体" w:hint="eastAsia"/>
                <w:color w:val="000000"/>
                <w:position w:val="-1"/>
              </w:rPr>
              <w:t>ESG</w:t>
            </w:r>
            <w:r>
              <w:rPr>
                <w:rFonts w:ascii="宋体" w:hint="eastAsia"/>
                <w:color w:val="000000"/>
                <w:position w:val="-1"/>
              </w:rPr>
              <w:t>主题混合型发起式证券投资基金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33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中银鑫呈一年定期开放债券型发起式证券投资基金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34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中银机构现金管理货币市场基金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低风险</w:t>
            </w:r>
            <w:r>
              <w:rPr>
                <w:rFonts w:hint="eastAsia"/>
              </w:rPr>
              <w:t>(R1)</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35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中银养老目标日期</w:t>
            </w:r>
            <w:r>
              <w:rPr>
                <w:rFonts w:ascii="宋体" w:hint="eastAsia"/>
                <w:color w:val="000000"/>
                <w:position w:val="-1"/>
              </w:rPr>
              <w:t>2035</w:t>
            </w:r>
            <w:r>
              <w:rPr>
                <w:rFonts w:ascii="宋体" w:hint="eastAsia"/>
                <w:color w:val="000000"/>
                <w:position w:val="-1"/>
              </w:rPr>
              <w:t>三年持有期混合型发起式基金中基金（</w:t>
            </w:r>
            <w:r>
              <w:rPr>
                <w:rFonts w:ascii="宋体" w:hint="eastAsia"/>
                <w:color w:val="000000"/>
                <w:position w:val="-1"/>
              </w:rPr>
              <w:t>FOF</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36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中银稳进策略灵活配置混合型证券投资基金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37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中银多策略灵活配置混合型证券投资基金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38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中银国有企业债债券型证券投资基金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39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中银优秀企业混合型证券投资基金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40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中银颐利灵活配置混合型证券投资基金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41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中银新回报灵活配置混合型证券投资基金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lastRenderedPageBreak/>
              <w:t>42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中银新财富灵活配置混合型证券投资基金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43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中银恒优</w:t>
            </w:r>
            <w:r>
              <w:rPr>
                <w:rFonts w:ascii="宋体" w:hint="eastAsia"/>
                <w:color w:val="000000"/>
                <w:position w:val="-1"/>
              </w:rPr>
              <w:t>12</w:t>
            </w:r>
            <w:r>
              <w:rPr>
                <w:rFonts w:ascii="宋体" w:hint="eastAsia"/>
                <w:color w:val="000000"/>
                <w:position w:val="-1"/>
              </w:rPr>
              <w:t>个月持有期债券型证券投资基金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44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中银安康平衡养老目标三年持有期混合型发起式基金中基金（</w:t>
            </w:r>
            <w:r>
              <w:rPr>
                <w:rFonts w:ascii="宋体" w:hint="eastAsia"/>
                <w:color w:val="000000"/>
                <w:position w:val="-1"/>
              </w:rPr>
              <w:t>FOF</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45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中银价值发现混合型发起式证券投资基金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46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中银上证科创板</w:t>
            </w:r>
            <w:r>
              <w:rPr>
                <w:rFonts w:ascii="宋体" w:hint="eastAsia"/>
                <w:color w:val="000000"/>
                <w:position w:val="-1"/>
              </w:rPr>
              <w:t>50</w:t>
            </w:r>
            <w:r>
              <w:rPr>
                <w:rFonts w:ascii="宋体" w:hint="eastAsia"/>
                <w:color w:val="000000"/>
                <w:position w:val="-1"/>
              </w:rPr>
              <w:t>成份交易型开放式指数证券投资基金联接基金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47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中银安康稳健养老目标一年持有期混合型基金中基金（</w:t>
            </w:r>
            <w:r>
              <w:rPr>
                <w:rFonts w:ascii="宋体" w:hint="eastAsia"/>
                <w:color w:val="000000"/>
                <w:position w:val="-1"/>
              </w:rPr>
              <w:t>FOF</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48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中银顺泽回报一年持有期混合型证券投资基金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49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中银货币市场证券投资基金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低风险</w:t>
            </w:r>
            <w:r>
              <w:rPr>
                <w:rFonts w:hint="eastAsia"/>
              </w:rPr>
              <w:t>(R1)</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50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中银中债</w:t>
            </w:r>
            <w:r>
              <w:rPr>
                <w:rFonts w:ascii="宋体" w:hint="eastAsia"/>
                <w:color w:val="000000"/>
                <w:position w:val="-1"/>
              </w:rPr>
              <w:t>1-5</w:t>
            </w:r>
            <w:r>
              <w:rPr>
                <w:rFonts w:ascii="宋体" w:hint="eastAsia"/>
                <w:color w:val="000000"/>
                <w:position w:val="-1"/>
              </w:rPr>
              <w:t>年期国开行债券指数证券投资基金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51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中银民丰回报混合型证券投资基金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52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中银中债</w:t>
            </w:r>
            <w:r>
              <w:rPr>
                <w:rFonts w:ascii="宋体" w:hint="eastAsia"/>
                <w:color w:val="000000"/>
                <w:position w:val="-1"/>
              </w:rPr>
              <w:t>1-3</w:t>
            </w:r>
            <w:r>
              <w:rPr>
                <w:rFonts w:ascii="宋体" w:hint="eastAsia"/>
                <w:color w:val="000000"/>
                <w:position w:val="-1"/>
              </w:rPr>
              <w:t>年期农发行债券指数证券投资基金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53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中银福建国有企业债</w:t>
            </w:r>
            <w:r>
              <w:rPr>
                <w:rFonts w:ascii="宋体" w:hint="eastAsia"/>
                <w:color w:val="000000"/>
                <w:position w:val="-1"/>
              </w:rPr>
              <w:t>6</w:t>
            </w:r>
            <w:r>
              <w:rPr>
                <w:rFonts w:ascii="宋体" w:hint="eastAsia"/>
                <w:color w:val="000000"/>
                <w:position w:val="-1"/>
              </w:rPr>
              <w:t>个月定期开放债券型证券投资基金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54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中银民利一年持有期债券型证券投资基金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55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中银高质量发展机遇混合型证券投资基金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56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中银宁享债券型证券投资基金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57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中银成长优选股票型证券投资基金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58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中银富利</w:t>
            </w:r>
            <w:r>
              <w:rPr>
                <w:rFonts w:ascii="宋体" w:hint="eastAsia"/>
                <w:color w:val="000000"/>
                <w:position w:val="-1"/>
              </w:rPr>
              <w:t>6</w:t>
            </w:r>
            <w:r>
              <w:rPr>
                <w:rFonts w:ascii="宋体" w:hint="eastAsia"/>
                <w:color w:val="000000"/>
                <w:position w:val="-1"/>
              </w:rPr>
              <w:t>个月持有期混合型证券投资基金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59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中银卓越成长混合型证券投资基金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60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中银丰荣定期开放债券型发起式证券投资基金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61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中银稳健策略灵活配置混合型证券投资基金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62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中银智能制造股票型证券投资基金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63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中银鑫利灵活配置混合型证券投资基金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64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中银健康生活混合型证券投资基金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65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中银美丽中国混合型证券投资基金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66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中银新趋势灵活配置混合型证券投资基金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67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中银广利灵活配置混合型证券投资基金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68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中银沪深</w:t>
            </w:r>
            <w:r>
              <w:rPr>
                <w:rFonts w:ascii="宋体" w:hint="eastAsia"/>
                <w:color w:val="000000"/>
                <w:position w:val="-1"/>
              </w:rPr>
              <w:t>300</w:t>
            </w:r>
            <w:r>
              <w:rPr>
                <w:rFonts w:ascii="宋体" w:hint="eastAsia"/>
                <w:color w:val="000000"/>
                <w:position w:val="-1"/>
              </w:rPr>
              <w:t>指数型证券投资基金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69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中银月月鑫</w:t>
            </w:r>
            <w:r>
              <w:rPr>
                <w:rFonts w:ascii="宋体" w:hint="eastAsia"/>
                <w:color w:val="000000"/>
                <w:position w:val="-1"/>
              </w:rPr>
              <w:t>30</w:t>
            </w:r>
            <w:r>
              <w:rPr>
                <w:rFonts w:ascii="宋体" w:hint="eastAsia"/>
                <w:color w:val="000000"/>
                <w:position w:val="-1"/>
              </w:rPr>
              <w:t>天滚动持有债券型证券投资基金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70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中银港股通医药混合型发起式证券投资基金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71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中银恒嘉</w:t>
            </w:r>
            <w:r>
              <w:rPr>
                <w:rFonts w:ascii="宋体" w:hint="eastAsia"/>
                <w:color w:val="000000"/>
                <w:position w:val="-1"/>
              </w:rPr>
              <w:t>60</w:t>
            </w:r>
            <w:r>
              <w:rPr>
                <w:rFonts w:ascii="宋体" w:hint="eastAsia"/>
                <w:color w:val="000000"/>
                <w:position w:val="-1"/>
              </w:rPr>
              <w:t>天滚动持有短债债券型证券投资基金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72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中银港股通优势成长股票型证券投资基金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73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中银丰进定期开放债券型发起式证券投资基金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74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中银通利债券型证券投资基金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75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中银慧泽积极</w:t>
            </w:r>
            <w:r>
              <w:rPr>
                <w:rFonts w:ascii="宋体" w:hint="eastAsia"/>
                <w:color w:val="000000"/>
                <w:position w:val="-1"/>
              </w:rPr>
              <w:t>3</w:t>
            </w:r>
            <w:r>
              <w:rPr>
                <w:rFonts w:ascii="宋体" w:hint="eastAsia"/>
                <w:color w:val="000000"/>
                <w:position w:val="-1"/>
              </w:rPr>
              <w:t>个月持有期混合型发起式基金中基金（</w:t>
            </w:r>
            <w:r>
              <w:rPr>
                <w:rFonts w:ascii="宋体" w:hint="eastAsia"/>
                <w:color w:val="000000"/>
                <w:position w:val="-1"/>
              </w:rPr>
              <w:t>FOF</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76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中银彭博政策性银行债券</w:t>
            </w:r>
            <w:r>
              <w:rPr>
                <w:rFonts w:ascii="宋体" w:hint="eastAsia"/>
                <w:color w:val="000000"/>
                <w:position w:val="-1"/>
              </w:rPr>
              <w:t>1-5</w:t>
            </w:r>
            <w:r>
              <w:rPr>
                <w:rFonts w:ascii="宋体" w:hint="eastAsia"/>
                <w:color w:val="000000"/>
                <w:position w:val="-1"/>
              </w:rPr>
              <w:t>年指数证券投资基金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77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中银顺兴回报一年持有期混合型证券投资基金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78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中银动态策略混合型证券投资基金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79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中银收益混合型证券投资基金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80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中银稳健增利债券型证券投资基金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81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中银行业优选灵活配置混合型证券投资基金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82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中银乐享债券型证券投资基金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83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上证国有企业</w:t>
            </w:r>
            <w:r>
              <w:rPr>
                <w:rFonts w:ascii="宋体" w:hint="eastAsia"/>
                <w:color w:val="000000"/>
                <w:position w:val="-1"/>
              </w:rPr>
              <w:t>100</w:t>
            </w:r>
            <w:r>
              <w:rPr>
                <w:rFonts w:ascii="宋体" w:hint="eastAsia"/>
                <w:color w:val="000000"/>
                <w:position w:val="-1"/>
              </w:rPr>
              <w:t>交易型开放式指数证券投资基金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84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中银慧泽稳健</w:t>
            </w:r>
            <w:r>
              <w:rPr>
                <w:rFonts w:ascii="宋体" w:hint="eastAsia"/>
                <w:color w:val="000000"/>
                <w:position w:val="-1"/>
              </w:rPr>
              <w:t>3</w:t>
            </w:r>
            <w:r>
              <w:rPr>
                <w:rFonts w:ascii="宋体" w:hint="eastAsia"/>
                <w:color w:val="000000"/>
                <w:position w:val="-1"/>
              </w:rPr>
              <w:t>个月持有期混合型发起式基金中基金（</w:t>
            </w:r>
            <w:r>
              <w:rPr>
                <w:rFonts w:ascii="宋体" w:hint="eastAsia"/>
                <w:color w:val="000000"/>
                <w:position w:val="-1"/>
              </w:rPr>
              <w:t>FOF</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85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中银中证央企红利</w:t>
            </w:r>
            <w:r>
              <w:rPr>
                <w:rFonts w:ascii="宋体" w:hint="eastAsia"/>
                <w:color w:val="000000"/>
                <w:position w:val="-1"/>
              </w:rPr>
              <w:t>50</w:t>
            </w:r>
            <w:r>
              <w:rPr>
                <w:rFonts w:ascii="宋体" w:hint="eastAsia"/>
                <w:color w:val="000000"/>
                <w:position w:val="-1"/>
              </w:rPr>
              <w:t>指数型证券投资基金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86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中银新能源产业股票型证券投资基金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87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中银睿享定期开放债券型发起式证券投资基金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88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中银富享定期开放债券型发起式证券投资基金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89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中银战略新兴产业股票型证券投资基金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90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中银珍利灵活配置混合型证券投资基金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91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中银研究精选灵活配置混合型证券投资基金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92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中银利享定期开放债券型证券投资基金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93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中银养老目标日期</w:t>
            </w:r>
            <w:r>
              <w:rPr>
                <w:rFonts w:ascii="宋体" w:hint="eastAsia"/>
                <w:color w:val="000000"/>
                <w:position w:val="-1"/>
              </w:rPr>
              <w:t>2050</w:t>
            </w:r>
            <w:r>
              <w:rPr>
                <w:rFonts w:ascii="宋体" w:hint="eastAsia"/>
                <w:color w:val="000000"/>
                <w:position w:val="-1"/>
              </w:rPr>
              <w:t>五年持有期混合型发起式基金中基金（</w:t>
            </w:r>
            <w:r>
              <w:rPr>
                <w:rFonts w:ascii="宋体" w:hint="eastAsia"/>
                <w:color w:val="000000"/>
                <w:position w:val="-1"/>
              </w:rPr>
              <w:t>FOF</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94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中银恒泰</w:t>
            </w:r>
            <w:r>
              <w:rPr>
                <w:rFonts w:ascii="宋体" w:hint="eastAsia"/>
                <w:color w:val="000000"/>
                <w:position w:val="-1"/>
              </w:rPr>
              <w:t>9</w:t>
            </w:r>
            <w:r>
              <w:rPr>
                <w:rFonts w:ascii="宋体" w:hint="eastAsia"/>
                <w:color w:val="000000"/>
                <w:position w:val="-1"/>
              </w:rPr>
              <w:t>个月持有期债券型证券投资基金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95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中银中债</w:t>
            </w:r>
            <w:r>
              <w:rPr>
                <w:rFonts w:ascii="宋体" w:hint="eastAsia"/>
                <w:color w:val="000000"/>
                <w:position w:val="-1"/>
              </w:rPr>
              <w:t>1-3</w:t>
            </w:r>
            <w:r>
              <w:rPr>
                <w:rFonts w:ascii="宋体" w:hint="eastAsia"/>
                <w:color w:val="000000"/>
                <w:position w:val="-1"/>
              </w:rPr>
              <w:t>年期国开行债券指数证券投资基金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96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中银创新医疗混合型证券投资基金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97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中银科技创新一年定期开放混合型证券投资基金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98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中银招利债券型证券投资基金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99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中银鑫新消费成长混合型证券投资基金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100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中银亚太精选债券型证券投资基金（</w:t>
            </w:r>
            <w:r>
              <w:rPr>
                <w:rFonts w:ascii="宋体" w:hint="eastAsia"/>
                <w:color w:val="000000"/>
                <w:position w:val="-1"/>
              </w:rPr>
              <w:t>QDII</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101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中银大健康股票型证券投资基金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102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中银纯债债券型证券投资基金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103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中银上海金交易型开放式证券投资基金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104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中银价值精选灵活配置混合型证券投资基金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105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w:t>
            </w:r>
            <w:r>
              <w:rPr>
                <w:rFonts w:ascii="宋体" w:hint="eastAsia"/>
                <w:color w:val="000000"/>
                <w:position w:val="-1"/>
              </w:rPr>
              <w:t>MSCI</w:t>
            </w:r>
            <w:r>
              <w:rPr>
                <w:rFonts w:ascii="宋体" w:hint="eastAsia"/>
                <w:color w:val="000000"/>
                <w:position w:val="-1"/>
              </w:rPr>
              <w:t>中国</w:t>
            </w:r>
            <w:r>
              <w:rPr>
                <w:rFonts w:ascii="宋体" w:hint="eastAsia"/>
                <w:color w:val="000000"/>
                <w:position w:val="-1"/>
              </w:rPr>
              <w:t>A50</w:t>
            </w:r>
            <w:r>
              <w:rPr>
                <w:rFonts w:ascii="宋体" w:hint="eastAsia"/>
                <w:color w:val="000000"/>
                <w:position w:val="-1"/>
              </w:rPr>
              <w:t>互联互通指数增强型证券投资基金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106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中银新动力股票型证券投资基金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107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中银中高等级债券型证券投资基金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108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中银金融地产混合型证券投资基金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109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中银宏观策略灵活配置混合型证券投资基金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110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中银消费主题混合型证券投资基金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111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中银持续增长混合型证券投资基金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112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中银丰庆定期开放债券型证券投资基金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113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中银活期宝货币市场基金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低风险</w:t>
            </w:r>
            <w:r>
              <w:rPr>
                <w:rFonts w:hint="eastAsia"/>
              </w:rPr>
              <w:t>(R1)</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114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中银量化精选灵活配置混合型证券投资基金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115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中银沪深</w:t>
            </w:r>
            <w:r>
              <w:rPr>
                <w:rFonts w:ascii="宋体" w:hint="eastAsia"/>
                <w:color w:val="000000"/>
                <w:position w:val="-1"/>
              </w:rPr>
              <w:t>300</w:t>
            </w:r>
            <w:r>
              <w:rPr>
                <w:rFonts w:ascii="宋体" w:hint="eastAsia"/>
                <w:color w:val="000000"/>
                <w:position w:val="-1"/>
              </w:rPr>
              <w:t>指数增强型证券投资基金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116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中银丰禧定期开放债券型发起式证券投资基金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117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中银荣享债券型证券投资基金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118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中银康享</w:t>
            </w:r>
            <w:r>
              <w:rPr>
                <w:rFonts w:ascii="宋体" w:hint="eastAsia"/>
                <w:color w:val="000000"/>
                <w:position w:val="-1"/>
              </w:rPr>
              <w:t>3</w:t>
            </w:r>
            <w:r>
              <w:rPr>
                <w:rFonts w:ascii="宋体" w:hint="eastAsia"/>
                <w:color w:val="000000"/>
                <w:position w:val="-1"/>
              </w:rPr>
              <w:t>个月定期开放债券型发起式证券投资基金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119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中银稳健添利债券型发起式证券投资基金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120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中银季季享</w:t>
            </w:r>
            <w:r>
              <w:rPr>
                <w:rFonts w:ascii="宋体" w:hint="eastAsia"/>
                <w:color w:val="000000"/>
                <w:position w:val="-1"/>
              </w:rPr>
              <w:t>90</w:t>
            </w:r>
            <w:r>
              <w:rPr>
                <w:rFonts w:ascii="宋体" w:hint="eastAsia"/>
                <w:color w:val="000000"/>
                <w:position w:val="-1"/>
              </w:rPr>
              <w:t>天滚动持有中短债债券型发起式证券投资基金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121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中银沪深</w:t>
            </w:r>
            <w:r>
              <w:rPr>
                <w:rFonts w:ascii="宋体" w:hint="eastAsia"/>
                <w:color w:val="000000"/>
                <w:position w:val="-1"/>
              </w:rPr>
              <w:t>300</w:t>
            </w:r>
            <w:r>
              <w:rPr>
                <w:rFonts w:ascii="宋体" w:hint="eastAsia"/>
                <w:color w:val="000000"/>
                <w:position w:val="-1"/>
              </w:rPr>
              <w:t>等权重指数证券投资基金（</w:t>
            </w:r>
            <w:r>
              <w:rPr>
                <w:rFonts w:ascii="宋体" w:hint="eastAsia"/>
                <w:color w:val="000000"/>
                <w:position w:val="-1"/>
              </w:rPr>
              <w:t>LOF</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122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中银中证</w:t>
            </w:r>
            <w:r>
              <w:rPr>
                <w:rFonts w:ascii="宋体" w:hint="eastAsia"/>
                <w:color w:val="000000"/>
                <w:position w:val="-1"/>
              </w:rPr>
              <w:t>A100</w:t>
            </w:r>
            <w:r>
              <w:rPr>
                <w:rFonts w:ascii="宋体" w:hint="eastAsia"/>
                <w:color w:val="000000"/>
                <w:position w:val="-1"/>
              </w:rPr>
              <w:t>指数增强型证券投资基金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123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中银互利半年定期开放债券型证券投资基金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124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中银安心回报半年定期开放债券型证券投资基金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125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中银丰润定期开放债券型发起式证券投资基金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126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中银核心精选混合型证券投资基金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127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中银欣享利率债债券型证券投资基金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128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中银泰享定期开放债券型发起式证券投资基金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129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中银景泰回报混合型证券投资基金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130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中银内核驱动股票型证券投资基金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131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中银誉享一年定期开放债券型发起式证券投资基金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132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中银瑞福浮动净值型发起式货币市场基金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低风险</w:t>
            </w:r>
            <w:r>
              <w:rPr>
                <w:rFonts w:hint="eastAsia"/>
              </w:rPr>
              <w:t>(R1)</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133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中银安享债券型证券投资基金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134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中银双息回报混合型证券投资基金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135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中银臻享债券型证券投资基金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136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中银产业债债券型证券投资基金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137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中银蓝筹精选灵活配置混合型证券投资基金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138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中银中国精选混合型开放式证券投资基金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139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中银中短债债券型证券投资基金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140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中银淳享一年定期开放债券型发起式证券投资基金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141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中银中债</w:t>
            </w:r>
            <w:r>
              <w:rPr>
                <w:rFonts w:ascii="宋体" w:hint="eastAsia"/>
                <w:color w:val="000000"/>
                <w:position w:val="-1"/>
              </w:rPr>
              <w:t>1-5</w:t>
            </w:r>
            <w:r>
              <w:rPr>
                <w:rFonts w:ascii="宋体" w:hint="eastAsia"/>
                <w:color w:val="000000"/>
                <w:position w:val="-1"/>
              </w:rPr>
              <w:t>年进出口行债券指数证券投资基金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142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中银悦享定期开放债券型发起式证券投资基金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143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中银美元债债券型证券投资基金（</w:t>
            </w:r>
            <w:r>
              <w:rPr>
                <w:rFonts w:ascii="宋体" w:hint="eastAsia"/>
                <w:color w:val="000000"/>
                <w:position w:val="-1"/>
              </w:rPr>
              <w:t>QDII</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144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中银量化选股混合型发起式证券投资基金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145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中银淳利三个月持有期债券型证券投资基金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146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中银信用增利债券型证券投资基金（</w:t>
            </w:r>
            <w:r>
              <w:rPr>
                <w:rFonts w:ascii="宋体" w:hint="eastAsia"/>
                <w:color w:val="000000"/>
                <w:position w:val="-1"/>
              </w:rPr>
              <w:t>LOF</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147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中银上海清算所</w:t>
            </w:r>
            <w:r>
              <w:rPr>
                <w:rFonts w:ascii="宋体" w:hint="eastAsia"/>
                <w:color w:val="000000"/>
                <w:position w:val="-1"/>
              </w:rPr>
              <w:t>0-5</w:t>
            </w:r>
            <w:r>
              <w:rPr>
                <w:rFonts w:ascii="宋体" w:hint="eastAsia"/>
                <w:color w:val="000000"/>
                <w:position w:val="-1"/>
              </w:rPr>
              <w:t>年农发行债券指数证券投资基金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148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中银澳享一年定期开放债券型发起式证券投资基金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149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中银同享一年定期开放债券型发起式证券投资基金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150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中银添瑞</w:t>
            </w:r>
            <w:r>
              <w:rPr>
                <w:rFonts w:ascii="宋体" w:hint="eastAsia"/>
                <w:color w:val="000000"/>
                <w:position w:val="-1"/>
              </w:rPr>
              <w:t>6</w:t>
            </w:r>
            <w:r>
              <w:rPr>
                <w:rFonts w:ascii="宋体" w:hint="eastAsia"/>
                <w:color w:val="000000"/>
                <w:position w:val="-1"/>
              </w:rPr>
              <w:t>个月定期开放债券型证券投资基金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151</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中银沃享一年定期开放债券型发起式证券投资基金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152</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中银兴利稳健回报灵活配置混合型证券投资基金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中风险</w:t>
            </w:r>
            <w:r>
              <w:rPr>
                <w:rFonts w:hint="eastAsia"/>
              </w:rPr>
              <w:t>(R3)</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153</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中银中债</w:t>
            </w:r>
            <w:r>
              <w:rPr>
                <w:rFonts w:ascii="宋体" w:hint="eastAsia"/>
                <w:color w:val="000000"/>
                <w:position w:val="-1"/>
              </w:rPr>
              <w:t>3-5</w:t>
            </w:r>
            <w:r>
              <w:rPr>
                <w:rFonts w:ascii="宋体" w:hint="eastAsia"/>
                <w:color w:val="000000"/>
                <w:position w:val="-1"/>
              </w:rPr>
              <w:t>年期农发行债券指数证券投资基金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154</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中银弘享债券型证券投资基金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155</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中银全球策略证券投资基金（</w:t>
            </w:r>
            <w:r>
              <w:rPr>
                <w:rFonts w:ascii="宋体" w:hint="eastAsia"/>
                <w:color w:val="000000"/>
                <w:position w:val="-1"/>
              </w:rPr>
              <w:t>FOF</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中高风险</w:t>
            </w:r>
            <w:r>
              <w:rPr>
                <w:rFonts w:hint="eastAsia"/>
              </w:rPr>
              <w:t>(R4)</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156</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中银薪钱包货币市场基金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低风险</w:t>
            </w:r>
            <w:r>
              <w:rPr>
                <w:rFonts w:hint="eastAsia"/>
              </w:rPr>
              <w:t>(R1)</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157</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中银丰实定期开放债券型发起式证券投资基金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158</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中银恒利半年定期开放债券型证券投资基金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159</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中银智享债券型证券投资基金</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r w:rsidR="00682BEA">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160</w:t>
            </w:r>
          </w:p>
        </w:tc>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rPr>
                <w:rFonts w:ascii="宋体"/>
                <w:color w:val="000000"/>
                <w:position w:val="-1"/>
              </w:rPr>
            </w:pPr>
            <w:r>
              <w:rPr>
                <w:rFonts w:ascii="宋体" w:hint="eastAsia"/>
                <w:color w:val="000000"/>
                <w:position w:val="-1"/>
              </w:rPr>
              <w:t>中银睿泽稳健</w:t>
            </w:r>
            <w:r>
              <w:rPr>
                <w:rFonts w:ascii="宋体" w:hint="eastAsia"/>
                <w:color w:val="000000"/>
                <w:position w:val="-1"/>
              </w:rPr>
              <w:t>3</w:t>
            </w:r>
            <w:r>
              <w:rPr>
                <w:rFonts w:ascii="宋体" w:hint="eastAsia"/>
                <w:color w:val="000000"/>
                <w:position w:val="-1"/>
              </w:rPr>
              <w:t>个月持有期混合型基金中基金（</w:t>
            </w:r>
            <w:r>
              <w:rPr>
                <w:rFonts w:ascii="宋体" w:hint="eastAsia"/>
                <w:color w:val="000000"/>
                <w:position w:val="-1"/>
              </w:rPr>
              <w:t>FOF</w:t>
            </w:r>
            <w:r>
              <w:rPr>
                <w:rFonts w:ascii="宋体" w:hint="eastAsia"/>
                <w:color w:val="000000"/>
                <w:position w:val="-1"/>
              </w:rPr>
              <w:t>）</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82BEA" w:rsidRDefault="00180211">
            <w:pPr>
              <w:widowControl/>
              <w:jc w:val="center"/>
            </w:pPr>
            <w:r>
              <w:rPr>
                <w:rFonts w:hint="eastAsia"/>
              </w:rPr>
              <w:t>中低风险</w:t>
            </w:r>
            <w:r>
              <w:rPr>
                <w:rFonts w:hint="eastAsia"/>
              </w:rPr>
              <w:t>(R2)</w:t>
            </w:r>
          </w:p>
        </w:tc>
      </w:tr>
    </w:tbl>
    <w:p w:rsidR="00682BEA" w:rsidRDefault="00682BEA">
      <w:pPr>
        <w:spacing w:line="360" w:lineRule="auto"/>
        <w:jc w:val="left"/>
        <w:rPr>
          <w:sz w:val="24"/>
        </w:rPr>
      </w:pPr>
    </w:p>
    <w:sectPr w:rsidR="00682BEA" w:rsidSect="00682BEA">
      <w:pgSz w:w="11906" w:h="16838"/>
      <w:pgMar w:top="1134" w:right="1361" w:bottom="1134" w:left="1361" w:header="624" w:footer="68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Luxi Sans">
    <w:altName w:val="Lucida Sans"/>
    <w:charset w:val="00"/>
    <w:family w:val="auto"/>
    <w:pitch w:val="variable"/>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等线">
    <w:altName w:val="方正标雅宋_GBK"/>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
  <w:rsids>
    <w:rsidRoot w:val="00682BEA"/>
    <w:rsid w:val="00180211"/>
    <w:rsid w:val="00682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2BEA"/>
    <w:pPr>
      <w:widowControl w:val="0"/>
      <w:jc w:val="both"/>
    </w:pPr>
    <w:rPr>
      <w:rFonts w:ascii="Calibri" w:hAnsi="Calibri" w:cs="宋体"/>
      <w:kern w:val="2"/>
      <w:sz w:val="21"/>
      <w:szCs w:val="22"/>
    </w:rPr>
  </w:style>
  <w:style w:type="paragraph" w:styleId="1">
    <w:name w:val="heading 1"/>
    <w:basedOn w:val="a"/>
    <w:next w:val="a"/>
    <w:rsid w:val="00682BEA"/>
    <w:pPr>
      <w:keepNext/>
      <w:keepLines/>
      <w:spacing w:before="340" w:after="330" w:line="578" w:lineRule="auto"/>
      <w:outlineLvl w:val="0"/>
    </w:pPr>
    <w:rPr>
      <w:b/>
      <w:bCs/>
      <w:kern w:val="44"/>
      <w:sz w:val="44"/>
    </w:rPr>
  </w:style>
  <w:style w:type="paragraph" w:styleId="2">
    <w:name w:val="heading 2"/>
    <w:basedOn w:val="a"/>
    <w:next w:val="a"/>
    <w:rsid w:val="00682BEA"/>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682BEA"/>
    <w:pPr>
      <w:keepNext/>
      <w:keepLines/>
      <w:spacing w:before="260" w:after="260" w:line="415"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682BEA"/>
    <w:rPr>
      <w:sz w:val="18"/>
      <w:szCs w:val="18"/>
    </w:rPr>
  </w:style>
  <w:style w:type="paragraph" w:styleId="a4">
    <w:name w:val="footer"/>
    <w:basedOn w:val="a"/>
    <w:rsid w:val="00682BEA"/>
    <w:pPr>
      <w:tabs>
        <w:tab w:val="center" w:pos="4153"/>
        <w:tab w:val="right" w:pos="8306"/>
      </w:tabs>
      <w:snapToGrid w:val="0"/>
      <w:jc w:val="left"/>
    </w:pPr>
    <w:rPr>
      <w:sz w:val="18"/>
      <w:szCs w:val="18"/>
    </w:rPr>
  </w:style>
  <w:style w:type="paragraph" w:styleId="a5">
    <w:name w:val="header"/>
    <w:basedOn w:val="a"/>
    <w:rsid w:val="00682BEA"/>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682BEA"/>
    <w:rPr>
      <w:color w:val="0563C1"/>
      <w:u w:val="single"/>
    </w:rPr>
  </w:style>
  <w:style w:type="paragraph" w:customStyle="1" w:styleId="Default">
    <w:name w:val="Default"/>
    <w:rsid w:val="00682BEA"/>
    <w:pPr>
      <w:widowControl w:val="0"/>
      <w:autoSpaceDE w:val="0"/>
      <w:autoSpaceDN w:val="0"/>
      <w:adjustRightInd w:val="0"/>
    </w:pPr>
    <w:rPr>
      <w:rFonts w:ascii="宋体" w:cs="宋体"/>
      <w:color w:val="000000"/>
      <w:sz w:val="24"/>
      <w:szCs w:val="24"/>
    </w:rPr>
  </w:style>
  <w:style w:type="paragraph" w:styleId="a7">
    <w:name w:val="List Paragraph"/>
    <w:basedOn w:val="a"/>
    <w:rsid w:val="00682BEA"/>
    <w:pPr>
      <w:widowControl/>
      <w:ind w:firstLine="420"/>
    </w:pPr>
    <w:rPr>
      <w:rFonts w:ascii="等线" w:eastAsia="等线"/>
      <w:kern w:val="0"/>
      <w:szCs w:val="21"/>
    </w:rPr>
  </w:style>
  <w:style w:type="paragraph" w:customStyle="1" w:styleId="10">
    <w:name w:val="修订1"/>
    <w:rsid w:val="00682BEA"/>
    <w:rPr>
      <w:rFonts w:ascii="Calibri" w:hAnsi="Calibri" w:cs="宋体"/>
      <w:kern w:val="2"/>
      <w:sz w:val="21"/>
      <w:szCs w:val="22"/>
    </w:rPr>
  </w:style>
  <w:style w:type="character" w:styleId="a8">
    <w:name w:val="annotation reference"/>
    <w:basedOn w:val="a0"/>
    <w:rsid w:val="00682BEA"/>
    <w:rPr>
      <w:sz w:val="21"/>
      <w:szCs w:val="21"/>
    </w:rPr>
  </w:style>
  <w:style w:type="paragraph" w:styleId="a9">
    <w:name w:val="annotation text"/>
    <w:basedOn w:val="a"/>
    <w:rsid w:val="00682BEA"/>
    <w:pPr>
      <w:jc w:val="left"/>
    </w:pPr>
  </w:style>
  <w:style w:type="paragraph" w:styleId="aa">
    <w:name w:val="annotation subject"/>
    <w:basedOn w:val="a9"/>
    <w:next w:val="a9"/>
    <w:rsid w:val="00682BEA"/>
    <w:rPr>
      <w:b/>
      <w:bCs/>
    </w:rPr>
  </w:style>
  <w:style w:type="paragraph" w:styleId="ab">
    <w:name w:val="Normal (Web)"/>
    <w:basedOn w:val="a"/>
    <w:rsid w:val="00682BEA"/>
    <w:pPr>
      <w:widowControl/>
      <w:spacing w:before="100" w:beforeAutospacing="1" w:after="100" w:afterAutospacing="1"/>
      <w:jc w:val="left"/>
    </w:pPr>
    <w:rPr>
      <w:rFonts w:ascii="宋体" w:cs="Times New Roman"/>
      <w:kern w:val="0"/>
      <w:sz w:val="24"/>
      <w:szCs w:val="24"/>
    </w:rPr>
  </w:style>
  <w:style w:type="paragraph" w:styleId="11">
    <w:name w:val="toc 1"/>
    <w:basedOn w:val="a"/>
    <w:next w:val="a"/>
    <w:autoRedefine/>
    <w:rsid w:val="00682BEA"/>
  </w:style>
  <w:style w:type="paragraph" w:styleId="20">
    <w:name w:val="toc 2"/>
    <w:basedOn w:val="a"/>
    <w:next w:val="a"/>
    <w:autoRedefine/>
    <w:rsid w:val="00682BEA"/>
    <w:pPr>
      <w:ind w:left="420"/>
    </w:pPr>
  </w:style>
  <w:style w:type="paragraph" w:styleId="30">
    <w:name w:val="toc 3"/>
    <w:basedOn w:val="a"/>
    <w:next w:val="a"/>
    <w:autoRedefine/>
    <w:rsid w:val="00682BEA"/>
    <w:pPr>
      <w:ind w:left="840"/>
    </w:pPr>
  </w:style>
  <w:style w:type="paragraph" w:styleId="4">
    <w:name w:val="toc 4"/>
    <w:basedOn w:val="a"/>
    <w:next w:val="a"/>
    <w:autoRedefine/>
    <w:rsid w:val="00682BEA"/>
    <w:pPr>
      <w:ind w:left="1260"/>
    </w:pPr>
  </w:style>
  <w:style w:type="paragraph" w:styleId="5">
    <w:name w:val="toc 5"/>
    <w:basedOn w:val="a"/>
    <w:next w:val="a"/>
    <w:autoRedefine/>
    <w:rsid w:val="00682BEA"/>
    <w:pPr>
      <w:ind w:left="1680"/>
    </w:pPr>
  </w:style>
  <w:style w:type="paragraph" w:customStyle="1" w:styleId="21">
    <w:name w:val="修订2"/>
    <w:rsid w:val="00682BEA"/>
    <w:rPr>
      <w:rFonts w:ascii="Calibri" w:hAnsi="Calibri" w:cs="宋体"/>
      <w:kern w:val="2"/>
      <w:sz w:val="21"/>
      <w:szCs w:val="22"/>
    </w:rPr>
  </w:style>
  <w:style w:type="paragraph" w:customStyle="1" w:styleId="31">
    <w:name w:val="修订3"/>
    <w:rsid w:val="00682BEA"/>
    <w:rPr>
      <w:rFonts w:ascii="Calibri" w:hAnsi="Calibri" w:cs="宋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5127</Characters>
  <Application>Microsoft Office Word</Application>
  <DocSecurity>4</DocSecurity>
  <Lines>42</Lines>
  <Paragraphs>12</Paragraphs>
  <ScaleCrop>false</ScaleCrop>
  <Company>CNSTOCK</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zhewei</dc:creator>
  <cp:lastModifiedBy>ZHONGM</cp:lastModifiedBy>
  <cp:revision>2</cp:revision>
  <dcterms:created xsi:type="dcterms:W3CDTF">2025-06-11T16:01:00Z</dcterms:created>
  <dcterms:modified xsi:type="dcterms:W3CDTF">2025-06-11T16:01:00Z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C70C9A7F3073472EA6B208A8875791BB</vt:lpwstr>
  </property>
</Properties>
</file>