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FC7" w:rsidRPr="00A046C1" w:rsidRDefault="00B34FC7" w:rsidP="00B77429">
      <w:pPr>
        <w:jc w:val="center"/>
        <w:rPr>
          <w:rFonts w:ascii="宋体" w:eastAsia="宋体" w:hAnsi="宋体" w:cs="Times New Roman"/>
          <w:b/>
          <w:sz w:val="28"/>
          <w:szCs w:val="28"/>
        </w:rPr>
      </w:pPr>
      <w:r w:rsidRPr="00A046C1">
        <w:rPr>
          <w:rFonts w:ascii="宋体" w:eastAsia="宋体" w:hAnsi="宋体" w:cs="Times New Roman" w:hint="eastAsia"/>
          <w:b/>
          <w:sz w:val="28"/>
          <w:szCs w:val="28"/>
        </w:rPr>
        <w:t>摩根基金管理（中国）有限公司</w:t>
      </w:r>
    </w:p>
    <w:p w:rsidR="00824116" w:rsidRPr="00A046C1" w:rsidRDefault="00A046C1" w:rsidP="00B77429">
      <w:pPr>
        <w:jc w:val="center"/>
        <w:rPr>
          <w:rFonts w:ascii="宋体" w:eastAsia="宋体" w:hAnsi="宋体" w:cs="Times New Roman"/>
          <w:b/>
          <w:sz w:val="28"/>
          <w:szCs w:val="28"/>
        </w:rPr>
      </w:pPr>
      <w:r w:rsidRPr="00A046C1">
        <w:rPr>
          <w:rFonts w:ascii="宋体" w:eastAsia="宋体" w:hAnsi="宋体" w:cs="Times New Roman" w:hint="eastAsia"/>
          <w:b/>
          <w:sz w:val="28"/>
          <w:szCs w:val="28"/>
        </w:rPr>
        <w:t>关于降低</w:t>
      </w:r>
      <w:r w:rsidR="00F62FAD" w:rsidRPr="00A046C1">
        <w:rPr>
          <w:rFonts w:ascii="宋体" w:eastAsia="宋体" w:hAnsi="宋体" w:cs="Times New Roman" w:hint="eastAsia"/>
          <w:b/>
          <w:sz w:val="28"/>
          <w:szCs w:val="28"/>
        </w:rPr>
        <w:t>旗下部分基金</w:t>
      </w:r>
      <w:r w:rsidR="005E5692" w:rsidRPr="005E5692">
        <w:rPr>
          <w:rFonts w:ascii="宋体" w:eastAsia="宋体" w:hAnsi="宋体" w:cs="Times New Roman" w:hint="eastAsia"/>
          <w:b/>
          <w:sz w:val="28"/>
          <w:szCs w:val="28"/>
        </w:rPr>
        <w:t>最低赎回</w:t>
      </w:r>
      <w:r w:rsidR="000155AF">
        <w:rPr>
          <w:rFonts w:ascii="宋体" w:eastAsia="宋体" w:hAnsi="宋体" w:cs="Times New Roman" w:hint="eastAsia"/>
          <w:b/>
          <w:sz w:val="28"/>
          <w:szCs w:val="28"/>
        </w:rPr>
        <w:t>、</w:t>
      </w:r>
      <w:r w:rsidR="005E5692" w:rsidRPr="005E5692">
        <w:rPr>
          <w:rFonts w:ascii="宋体" w:eastAsia="宋体" w:hAnsi="宋体" w:cs="Times New Roman" w:hint="eastAsia"/>
          <w:b/>
          <w:sz w:val="28"/>
          <w:szCs w:val="28"/>
        </w:rPr>
        <w:t>转换转出份额和</w:t>
      </w:r>
      <w:r w:rsidR="000155AF">
        <w:rPr>
          <w:rFonts w:ascii="宋体" w:eastAsia="宋体" w:hAnsi="宋体" w:cs="Times New Roman" w:hint="eastAsia"/>
          <w:b/>
          <w:sz w:val="28"/>
          <w:szCs w:val="28"/>
        </w:rPr>
        <w:t>最低</w:t>
      </w:r>
      <w:r w:rsidR="005E5692" w:rsidRPr="005E5692">
        <w:rPr>
          <w:rFonts w:ascii="宋体" w:eastAsia="宋体" w:hAnsi="宋体" w:cs="Times New Roman" w:hint="eastAsia"/>
          <w:b/>
          <w:sz w:val="28"/>
          <w:szCs w:val="28"/>
        </w:rPr>
        <w:t>持有份额的公告</w:t>
      </w:r>
    </w:p>
    <w:p w:rsidR="00F62FAD" w:rsidRPr="00A046C1" w:rsidRDefault="00F62FAD">
      <w:pPr>
        <w:rPr>
          <w:rFonts w:ascii="宋体" w:eastAsia="宋体" w:hAnsi="宋体"/>
          <w:sz w:val="24"/>
          <w:szCs w:val="24"/>
        </w:rPr>
      </w:pPr>
    </w:p>
    <w:p w:rsidR="00F62FAD" w:rsidRPr="00A046C1" w:rsidRDefault="00F62FAD">
      <w:pPr>
        <w:rPr>
          <w:rFonts w:ascii="宋体" w:eastAsia="宋体" w:hAnsi="宋体"/>
          <w:sz w:val="24"/>
          <w:szCs w:val="24"/>
        </w:rPr>
      </w:pPr>
    </w:p>
    <w:p w:rsidR="00F62FAD" w:rsidRPr="00A046C1" w:rsidRDefault="00F62FAD" w:rsidP="001A19AD">
      <w:pPr>
        <w:spacing w:line="360" w:lineRule="auto"/>
        <w:ind w:firstLine="435"/>
        <w:rPr>
          <w:rFonts w:ascii="宋体" w:eastAsia="宋体" w:hAnsi="宋体" w:cs="Tahoma"/>
          <w:sz w:val="24"/>
          <w:szCs w:val="24"/>
        </w:rPr>
      </w:pPr>
      <w:r w:rsidRPr="00A046C1">
        <w:rPr>
          <w:rFonts w:ascii="宋体" w:eastAsia="宋体" w:hAnsi="宋体" w:cs="Tahoma"/>
          <w:sz w:val="24"/>
          <w:szCs w:val="24"/>
        </w:rPr>
        <w:t>为了更好地满足投资人的理财需求，</w:t>
      </w:r>
      <w:r w:rsidRPr="00A046C1">
        <w:rPr>
          <w:rFonts w:ascii="宋体" w:eastAsia="宋体" w:hAnsi="宋体" w:cs="Tahoma" w:hint="eastAsia"/>
          <w:sz w:val="24"/>
          <w:szCs w:val="24"/>
        </w:rPr>
        <w:t>给基金份额持有人提供更好的服务，</w:t>
      </w:r>
      <w:r w:rsidRPr="00A046C1">
        <w:rPr>
          <w:rFonts w:ascii="宋体" w:eastAsia="宋体" w:hAnsi="宋体" w:cs="Tahoma"/>
          <w:sz w:val="24"/>
          <w:szCs w:val="24"/>
        </w:rPr>
        <w:t>摩根基金管理</w:t>
      </w:r>
      <w:r w:rsidR="00B34FC7" w:rsidRPr="00A046C1">
        <w:rPr>
          <w:rFonts w:ascii="宋体" w:eastAsia="宋体" w:hAnsi="宋体" w:cs="Tahoma" w:hint="eastAsia"/>
          <w:sz w:val="24"/>
          <w:szCs w:val="24"/>
        </w:rPr>
        <w:t>（中国）</w:t>
      </w:r>
      <w:r w:rsidRPr="00A046C1">
        <w:rPr>
          <w:rFonts w:ascii="宋体" w:eastAsia="宋体" w:hAnsi="宋体" w:cs="Tahoma"/>
          <w:sz w:val="24"/>
          <w:szCs w:val="24"/>
        </w:rPr>
        <w:t>有限公司（以下简称“本公司”）决定自</w:t>
      </w:r>
      <w:r w:rsidR="005E5692" w:rsidRPr="00A046C1">
        <w:rPr>
          <w:rFonts w:ascii="宋体" w:eastAsia="宋体" w:hAnsi="宋体" w:cs="Tahoma"/>
          <w:sz w:val="24"/>
          <w:szCs w:val="24"/>
        </w:rPr>
        <w:t>202</w:t>
      </w:r>
      <w:r w:rsidR="005E5692">
        <w:rPr>
          <w:rFonts w:ascii="宋体" w:eastAsia="宋体" w:hAnsi="宋体" w:cs="Tahoma" w:hint="eastAsia"/>
          <w:sz w:val="24"/>
          <w:szCs w:val="24"/>
        </w:rPr>
        <w:t>5</w:t>
      </w:r>
      <w:r w:rsidRPr="00A046C1">
        <w:rPr>
          <w:rFonts w:ascii="宋体" w:eastAsia="宋体" w:hAnsi="宋体" w:cs="Tahoma"/>
          <w:sz w:val="24"/>
          <w:szCs w:val="24"/>
        </w:rPr>
        <w:t>年</w:t>
      </w:r>
      <w:r w:rsidR="005E5692">
        <w:rPr>
          <w:rFonts w:ascii="宋体" w:eastAsia="宋体" w:hAnsi="宋体" w:cs="Tahoma" w:hint="eastAsia"/>
          <w:sz w:val="24"/>
          <w:szCs w:val="24"/>
        </w:rPr>
        <w:t>6</w:t>
      </w:r>
      <w:r w:rsidRPr="00A046C1">
        <w:rPr>
          <w:rFonts w:ascii="宋体" w:eastAsia="宋体" w:hAnsi="宋体" w:cs="Tahoma"/>
          <w:sz w:val="24"/>
          <w:szCs w:val="24"/>
        </w:rPr>
        <w:t>月</w:t>
      </w:r>
      <w:r w:rsidR="005E5692">
        <w:rPr>
          <w:rFonts w:ascii="宋体" w:eastAsia="宋体" w:hAnsi="宋体" w:cs="Tahoma" w:hint="eastAsia"/>
          <w:sz w:val="24"/>
          <w:szCs w:val="24"/>
        </w:rPr>
        <w:t>1</w:t>
      </w:r>
      <w:r w:rsidR="00B34FC7" w:rsidRPr="00A046C1">
        <w:rPr>
          <w:rFonts w:ascii="宋体" w:eastAsia="宋体" w:hAnsi="宋体" w:cs="Tahoma"/>
          <w:sz w:val="24"/>
          <w:szCs w:val="24"/>
        </w:rPr>
        <w:t>2</w:t>
      </w:r>
      <w:r w:rsidRPr="00A046C1">
        <w:rPr>
          <w:rFonts w:ascii="宋体" w:eastAsia="宋体" w:hAnsi="宋体" w:cs="Tahoma"/>
          <w:sz w:val="24"/>
          <w:szCs w:val="24"/>
        </w:rPr>
        <w:t>日起，</w:t>
      </w:r>
      <w:r w:rsidRPr="00A046C1">
        <w:rPr>
          <w:rFonts w:ascii="宋体" w:eastAsia="宋体" w:hAnsi="宋体" w:cs="Tahoma" w:hint="eastAsia"/>
          <w:sz w:val="24"/>
          <w:szCs w:val="24"/>
        </w:rPr>
        <w:t>对旗下部分基金的</w:t>
      </w:r>
      <w:r w:rsidR="005E5692" w:rsidRPr="005E5692">
        <w:rPr>
          <w:rFonts w:ascii="宋体" w:eastAsia="宋体" w:hAnsi="宋体" w:cs="Tahoma" w:hint="eastAsia"/>
          <w:sz w:val="24"/>
          <w:szCs w:val="24"/>
        </w:rPr>
        <w:t>单个账户最低赎回</w:t>
      </w:r>
      <w:r w:rsidR="000155AF">
        <w:rPr>
          <w:rFonts w:ascii="宋体" w:eastAsia="宋体" w:hAnsi="宋体" w:cs="Tahoma" w:hint="eastAsia"/>
          <w:sz w:val="24"/>
          <w:szCs w:val="24"/>
        </w:rPr>
        <w:t>、</w:t>
      </w:r>
      <w:r w:rsidR="005E5692" w:rsidRPr="005E5692">
        <w:rPr>
          <w:rFonts w:ascii="宋体" w:eastAsia="宋体" w:hAnsi="宋体" w:cs="Tahoma" w:hint="eastAsia"/>
          <w:sz w:val="24"/>
          <w:szCs w:val="24"/>
        </w:rPr>
        <w:t>转换转出份额和最低持有份额进行调整</w:t>
      </w:r>
      <w:r w:rsidR="00690D56">
        <w:rPr>
          <w:rFonts w:ascii="宋体" w:eastAsia="宋体" w:hAnsi="宋体" w:cs="Tahoma" w:hint="eastAsia"/>
          <w:sz w:val="24"/>
          <w:szCs w:val="24"/>
        </w:rPr>
        <w:t>。</w:t>
      </w:r>
      <w:r w:rsidRPr="00A046C1">
        <w:rPr>
          <w:rFonts w:ascii="宋体" w:eastAsia="宋体" w:hAnsi="宋体" w:cs="Tahoma"/>
          <w:sz w:val="24"/>
          <w:szCs w:val="24"/>
        </w:rPr>
        <w:t>现将有关事项公告如下：</w:t>
      </w:r>
    </w:p>
    <w:p w:rsidR="00F62FAD" w:rsidRPr="00A046C1" w:rsidRDefault="00F62FAD" w:rsidP="00F62FAD">
      <w:pPr>
        <w:spacing w:line="276" w:lineRule="auto"/>
        <w:ind w:firstLine="435"/>
        <w:rPr>
          <w:rFonts w:ascii="宋体" w:eastAsia="宋体" w:hAnsi="宋体" w:cs="Tahoma"/>
          <w:sz w:val="24"/>
          <w:szCs w:val="24"/>
        </w:rPr>
      </w:pPr>
    </w:p>
    <w:p w:rsidR="00F62FAD" w:rsidRPr="00A046C1" w:rsidRDefault="00F62FAD" w:rsidP="00A046C1">
      <w:pPr>
        <w:pStyle w:val="a7"/>
        <w:numPr>
          <w:ilvl w:val="0"/>
          <w:numId w:val="1"/>
        </w:numPr>
        <w:spacing w:line="276" w:lineRule="auto"/>
        <w:ind w:firstLineChars="0"/>
        <w:rPr>
          <w:rFonts w:ascii="宋体" w:eastAsia="宋体" w:hAnsi="宋体" w:cs="Tahoma"/>
          <w:sz w:val="24"/>
          <w:szCs w:val="24"/>
        </w:rPr>
      </w:pPr>
      <w:r w:rsidRPr="00A046C1">
        <w:rPr>
          <w:rFonts w:ascii="宋体" w:eastAsia="宋体" w:hAnsi="宋体" w:cs="Tahoma"/>
          <w:sz w:val="24"/>
          <w:szCs w:val="24"/>
        </w:rPr>
        <w:t>适用基金</w:t>
      </w:r>
      <w:r w:rsidRPr="00A046C1">
        <w:rPr>
          <w:rFonts w:ascii="宋体" w:eastAsia="宋体" w:hAnsi="宋体" w:cs="Tahoma" w:hint="eastAsia"/>
          <w:sz w:val="24"/>
          <w:szCs w:val="24"/>
        </w:rPr>
        <w:t>列表</w:t>
      </w:r>
    </w:p>
    <w:p w:rsidR="00A046C1" w:rsidRPr="00A046C1" w:rsidRDefault="00A046C1" w:rsidP="00A046C1">
      <w:pPr>
        <w:spacing w:line="276" w:lineRule="auto"/>
        <w:rPr>
          <w:rFonts w:ascii="宋体" w:eastAsia="宋体" w:hAnsi="宋体" w:cs="Tahoma"/>
          <w:sz w:val="24"/>
          <w:szCs w:val="24"/>
        </w:rPr>
      </w:pPr>
    </w:p>
    <w:tbl>
      <w:tblPr>
        <w:tblW w:w="934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22"/>
        <w:gridCol w:w="1600"/>
        <w:gridCol w:w="6925"/>
      </w:tblGrid>
      <w:tr w:rsidR="00573194" w:rsidRPr="00A046C1" w:rsidTr="001A19AD">
        <w:trPr>
          <w:trHeight w:val="288"/>
        </w:trPr>
        <w:tc>
          <w:tcPr>
            <w:tcW w:w="822" w:type="dxa"/>
            <w:shd w:val="clear" w:color="auto" w:fill="FFFFFF"/>
            <w:tcMar>
              <w:top w:w="0" w:type="dxa"/>
              <w:left w:w="108" w:type="dxa"/>
              <w:bottom w:w="0" w:type="dxa"/>
              <w:right w:w="108" w:type="dxa"/>
            </w:tcMar>
            <w:vAlign w:val="center"/>
            <w:hideMark/>
          </w:tcPr>
          <w:p w:rsidR="00573194" w:rsidRPr="001A19AD" w:rsidRDefault="00573194" w:rsidP="001A19AD">
            <w:pPr>
              <w:spacing w:line="360" w:lineRule="auto"/>
              <w:jc w:val="center"/>
              <w:rPr>
                <w:rFonts w:ascii="宋体" w:eastAsia="宋体" w:hAnsi="宋体"/>
                <w:color w:val="000000"/>
                <w:sz w:val="24"/>
                <w:szCs w:val="24"/>
              </w:rPr>
            </w:pPr>
            <w:r w:rsidRPr="001A19AD">
              <w:rPr>
                <w:rFonts w:ascii="宋体" w:eastAsia="宋体" w:hAnsi="宋体" w:hint="eastAsia"/>
                <w:color w:val="000000"/>
                <w:sz w:val="24"/>
                <w:szCs w:val="24"/>
              </w:rPr>
              <w:t>序号</w:t>
            </w:r>
          </w:p>
        </w:tc>
        <w:tc>
          <w:tcPr>
            <w:tcW w:w="1600" w:type="dxa"/>
            <w:shd w:val="clear" w:color="auto" w:fill="FFFFFF"/>
            <w:tcMar>
              <w:top w:w="0" w:type="dxa"/>
              <w:left w:w="108" w:type="dxa"/>
              <w:bottom w:w="0" w:type="dxa"/>
              <w:right w:w="108" w:type="dxa"/>
            </w:tcMar>
            <w:vAlign w:val="center"/>
            <w:hideMark/>
          </w:tcPr>
          <w:p w:rsidR="00573194" w:rsidRPr="001A19AD" w:rsidRDefault="00573194" w:rsidP="001A19AD">
            <w:pPr>
              <w:spacing w:line="360" w:lineRule="auto"/>
              <w:jc w:val="center"/>
              <w:rPr>
                <w:rFonts w:ascii="宋体" w:eastAsia="宋体" w:hAnsi="宋体"/>
                <w:color w:val="000000"/>
                <w:sz w:val="24"/>
                <w:szCs w:val="24"/>
              </w:rPr>
            </w:pPr>
            <w:r w:rsidRPr="001A19AD">
              <w:rPr>
                <w:rFonts w:ascii="宋体" w:eastAsia="宋体" w:hAnsi="宋体" w:hint="eastAsia"/>
                <w:color w:val="000000"/>
                <w:sz w:val="24"/>
                <w:szCs w:val="24"/>
              </w:rPr>
              <w:t>基金代码</w:t>
            </w:r>
          </w:p>
        </w:tc>
        <w:tc>
          <w:tcPr>
            <w:tcW w:w="6925" w:type="dxa"/>
            <w:shd w:val="clear" w:color="auto" w:fill="FFFFFF"/>
            <w:tcMar>
              <w:top w:w="0" w:type="dxa"/>
              <w:left w:w="108" w:type="dxa"/>
              <w:bottom w:w="0" w:type="dxa"/>
              <w:right w:w="108" w:type="dxa"/>
            </w:tcMar>
            <w:vAlign w:val="center"/>
            <w:hideMark/>
          </w:tcPr>
          <w:p w:rsidR="00573194" w:rsidRPr="001A19AD" w:rsidRDefault="00573194" w:rsidP="001A19AD">
            <w:pPr>
              <w:spacing w:line="360" w:lineRule="auto"/>
              <w:jc w:val="center"/>
              <w:rPr>
                <w:rFonts w:ascii="宋体" w:eastAsia="宋体" w:hAnsi="宋体"/>
                <w:color w:val="000000"/>
                <w:sz w:val="24"/>
                <w:szCs w:val="24"/>
              </w:rPr>
            </w:pPr>
            <w:r w:rsidRPr="001A19AD">
              <w:rPr>
                <w:rFonts w:ascii="宋体" w:eastAsia="宋体" w:hAnsi="宋体" w:hint="eastAsia"/>
                <w:color w:val="000000"/>
                <w:sz w:val="24"/>
                <w:szCs w:val="24"/>
              </w:rPr>
              <w:t>基金名称全称</w:t>
            </w:r>
          </w:p>
        </w:tc>
      </w:tr>
      <w:tr w:rsidR="005E5692" w:rsidRPr="00A046C1" w:rsidTr="001A19AD">
        <w:trPr>
          <w:trHeight w:val="288"/>
        </w:trPr>
        <w:tc>
          <w:tcPr>
            <w:tcW w:w="822" w:type="dxa"/>
            <w:shd w:val="clear" w:color="auto" w:fill="FFFFFF"/>
            <w:tcMar>
              <w:top w:w="0" w:type="dxa"/>
              <w:left w:w="108" w:type="dxa"/>
              <w:bottom w:w="0" w:type="dxa"/>
              <w:right w:w="108" w:type="dxa"/>
            </w:tcMar>
            <w:vAlign w:val="center"/>
            <w:hideMark/>
          </w:tcPr>
          <w:p w:rsidR="005E5692" w:rsidRPr="001A19AD" w:rsidRDefault="005E5692" w:rsidP="001A19AD">
            <w:pPr>
              <w:spacing w:line="360" w:lineRule="auto"/>
              <w:jc w:val="center"/>
              <w:rPr>
                <w:rFonts w:ascii="宋体" w:eastAsia="宋体" w:hAnsi="宋体" w:cs="Arial"/>
                <w:color w:val="000000"/>
                <w:sz w:val="24"/>
                <w:szCs w:val="24"/>
              </w:rPr>
            </w:pPr>
            <w:r w:rsidRPr="001A19AD">
              <w:rPr>
                <w:rFonts w:ascii="宋体" w:eastAsia="宋体" w:hAnsi="宋体" w:cs="Arial"/>
                <w:color w:val="000000"/>
                <w:sz w:val="24"/>
                <w:szCs w:val="24"/>
              </w:rPr>
              <w:t>1</w:t>
            </w:r>
          </w:p>
        </w:tc>
        <w:tc>
          <w:tcPr>
            <w:tcW w:w="1600" w:type="dxa"/>
            <w:shd w:val="clear" w:color="auto" w:fill="FFFFFF"/>
            <w:tcMar>
              <w:top w:w="0" w:type="dxa"/>
              <w:left w:w="108" w:type="dxa"/>
              <w:bottom w:w="0" w:type="dxa"/>
              <w:right w:w="108" w:type="dxa"/>
            </w:tcMar>
            <w:hideMark/>
          </w:tcPr>
          <w:p w:rsidR="005E5692" w:rsidRPr="001A19AD" w:rsidRDefault="005E5692" w:rsidP="001A19AD">
            <w:pPr>
              <w:spacing w:line="360" w:lineRule="auto"/>
              <w:jc w:val="center"/>
              <w:rPr>
                <w:rFonts w:ascii="宋体" w:eastAsia="宋体" w:hAnsi="宋体" w:cs="Arial"/>
                <w:color w:val="000000"/>
                <w:sz w:val="24"/>
                <w:szCs w:val="24"/>
              </w:rPr>
            </w:pPr>
            <w:r w:rsidRPr="001A19AD">
              <w:rPr>
                <w:rFonts w:ascii="宋体" w:eastAsia="宋体" w:hAnsi="宋体" w:hint="eastAsia"/>
                <w:sz w:val="24"/>
                <w:szCs w:val="24"/>
              </w:rPr>
              <w:t>007280</w:t>
            </w:r>
          </w:p>
        </w:tc>
        <w:tc>
          <w:tcPr>
            <w:tcW w:w="6925" w:type="dxa"/>
            <w:shd w:val="clear" w:color="auto" w:fill="FFFFFF"/>
            <w:tcMar>
              <w:top w:w="0" w:type="dxa"/>
              <w:left w:w="108" w:type="dxa"/>
              <w:bottom w:w="0" w:type="dxa"/>
              <w:right w:w="108" w:type="dxa"/>
            </w:tcMar>
            <w:hideMark/>
          </w:tcPr>
          <w:p w:rsidR="005E5692" w:rsidRPr="001A19AD" w:rsidRDefault="001A19AD" w:rsidP="001A19AD">
            <w:pPr>
              <w:spacing w:line="360" w:lineRule="auto"/>
              <w:jc w:val="center"/>
              <w:rPr>
                <w:rFonts w:ascii="宋体" w:eastAsia="宋体" w:hAnsi="宋体" w:cs="宋体"/>
                <w:color w:val="000000"/>
                <w:sz w:val="24"/>
                <w:szCs w:val="24"/>
              </w:rPr>
            </w:pPr>
            <w:r w:rsidRPr="001A19AD">
              <w:rPr>
                <w:rFonts w:ascii="宋体" w:eastAsia="宋体" w:hAnsi="宋体" w:hint="eastAsia"/>
                <w:sz w:val="24"/>
                <w:szCs w:val="24"/>
              </w:rPr>
              <w:t>摩根日本精选股票型证券投资基金(QDII)</w:t>
            </w:r>
            <w:r w:rsidR="005E5692" w:rsidRPr="001A19AD">
              <w:rPr>
                <w:rFonts w:ascii="宋体" w:eastAsia="宋体" w:hAnsi="宋体" w:hint="eastAsia"/>
                <w:sz w:val="24"/>
                <w:szCs w:val="24"/>
              </w:rPr>
              <w:t>A</w:t>
            </w:r>
          </w:p>
        </w:tc>
      </w:tr>
      <w:tr w:rsidR="005E5692" w:rsidRPr="00A046C1" w:rsidTr="001A19AD">
        <w:trPr>
          <w:trHeight w:val="288"/>
        </w:trPr>
        <w:tc>
          <w:tcPr>
            <w:tcW w:w="822" w:type="dxa"/>
            <w:shd w:val="clear" w:color="auto" w:fill="FFFFFF"/>
            <w:tcMar>
              <w:top w:w="0" w:type="dxa"/>
              <w:left w:w="108" w:type="dxa"/>
              <w:bottom w:w="0" w:type="dxa"/>
              <w:right w:w="108" w:type="dxa"/>
            </w:tcMar>
            <w:vAlign w:val="center"/>
            <w:hideMark/>
          </w:tcPr>
          <w:p w:rsidR="005E5692" w:rsidRPr="001A19AD" w:rsidRDefault="005E5692" w:rsidP="001A19AD">
            <w:pPr>
              <w:spacing w:line="360" w:lineRule="auto"/>
              <w:jc w:val="center"/>
              <w:rPr>
                <w:rFonts w:ascii="宋体" w:eastAsia="宋体" w:hAnsi="宋体" w:cs="Arial"/>
                <w:color w:val="000000"/>
                <w:sz w:val="24"/>
                <w:szCs w:val="24"/>
              </w:rPr>
            </w:pPr>
            <w:r w:rsidRPr="001A19AD">
              <w:rPr>
                <w:rFonts w:ascii="宋体" w:eastAsia="宋体" w:hAnsi="宋体" w:cs="Arial"/>
                <w:color w:val="000000"/>
                <w:sz w:val="24"/>
                <w:szCs w:val="24"/>
              </w:rPr>
              <w:t>2</w:t>
            </w:r>
          </w:p>
        </w:tc>
        <w:tc>
          <w:tcPr>
            <w:tcW w:w="1600" w:type="dxa"/>
            <w:shd w:val="clear" w:color="auto" w:fill="FFFFFF"/>
            <w:tcMar>
              <w:top w:w="0" w:type="dxa"/>
              <w:left w:w="108" w:type="dxa"/>
              <w:bottom w:w="0" w:type="dxa"/>
              <w:right w:w="108" w:type="dxa"/>
            </w:tcMar>
            <w:hideMark/>
          </w:tcPr>
          <w:p w:rsidR="005E5692" w:rsidRPr="001A19AD" w:rsidRDefault="005E5692" w:rsidP="001A19AD">
            <w:pPr>
              <w:spacing w:line="360" w:lineRule="auto"/>
              <w:jc w:val="center"/>
              <w:rPr>
                <w:rFonts w:ascii="宋体" w:eastAsia="宋体" w:hAnsi="宋体" w:cs="Arial"/>
                <w:color w:val="000000"/>
                <w:sz w:val="24"/>
                <w:szCs w:val="24"/>
              </w:rPr>
            </w:pPr>
            <w:r w:rsidRPr="001A19AD">
              <w:rPr>
                <w:rFonts w:ascii="宋体" w:eastAsia="宋体" w:hAnsi="宋体" w:hint="eastAsia"/>
                <w:sz w:val="24"/>
                <w:szCs w:val="24"/>
              </w:rPr>
              <w:t>019449</w:t>
            </w:r>
          </w:p>
        </w:tc>
        <w:tc>
          <w:tcPr>
            <w:tcW w:w="6925" w:type="dxa"/>
            <w:shd w:val="clear" w:color="auto" w:fill="FFFFFF"/>
            <w:tcMar>
              <w:top w:w="0" w:type="dxa"/>
              <w:left w:w="108" w:type="dxa"/>
              <w:bottom w:w="0" w:type="dxa"/>
              <w:right w:w="108" w:type="dxa"/>
            </w:tcMar>
            <w:hideMark/>
          </w:tcPr>
          <w:p w:rsidR="005E5692" w:rsidRPr="001A19AD" w:rsidRDefault="001A19AD" w:rsidP="001A19AD">
            <w:pPr>
              <w:spacing w:line="360" w:lineRule="auto"/>
              <w:jc w:val="center"/>
              <w:rPr>
                <w:rFonts w:ascii="宋体" w:eastAsia="宋体" w:hAnsi="宋体" w:cs="宋体"/>
                <w:color w:val="000000"/>
                <w:sz w:val="24"/>
                <w:szCs w:val="24"/>
              </w:rPr>
            </w:pPr>
            <w:r w:rsidRPr="001A19AD">
              <w:rPr>
                <w:rFonts w:ascii="宋体" w:eastAsia="宋体" w:hAnsi="宋体" w:hint="eastAsia"/>
                <w:sz w:val="24"/>
                <w:szCs w:val="24"/>
              </w:rPr>
              <w:t>摩根日本精选股票型证券投资基金(QDII)</w:t>
            </w:r>
            <w:r w:rsidR="005E5692" w:rsidRPr="001A19AD">
              <w:rPr>
                <w:rFonts w:ascii="宋体" w:eastAsia="宋体" w:hAnsi="宋体" w:hint="eastAsia"/>
                <w:sz w:val="24"/>
                <w:szCs w:val="24"/>
              </w:rPr>
              <w:t>C</w:t>
            </w:r>
          </w:p>
        </w:tc>
      </w:tr>
      <w:tr w:rsidR="005E5692" w:rsidRPr="00A046C1" w:rsidTr="001A19AD">
        <w:trPr>
          <w:trHeight w:val="288"/>
        </w:trPr>
        <w:tc>
          <w:tcPr>
            <w:tcW w:w="822" w:type="dxa"/>
            <w:shd w:val="clear" w:color="auto" w:fill="FFFFFF"/>
            <w:tcMar>
              <w:top w:w="0" w:type="dxa"/>
              <w:left w:w="108" w:type="dxa"/>
              <w:bottom w:w="0" w:type="dxa"/>
              <w:right w:w="108" w:type="dxa"/>
            </w:tcMar>
            <w:vAlign w:val="center"/>
            <w:hideMark/>
          </w:tcPr>
          <w:p w:rsidR="005E5692" w:rsidRPr="001A19AD" w:rsidRDefault="005E5692" w:rsidP="001A19AD">
            <w:pPr>
              <w:spacing w:line="360" w:lineRule="auto"/>
              <w:jc w:val="center"/>
              <w:rPr>
                <w:rFonts w:ascii="宋体" w:eastAsia="宋体" w:hAnsi="宋体" w:cs="Arial"/>
                <w:color w:val="000000"/>
                <w:sz w:val="24"/>
                <w:szCs w:val="24"/>
              </w:rPr>
            </w:pPr>
            <w:r w:rsidRPr="001A19AD">
              <w:rPr>
                <w:rFonts w:ascii="宋体" w:eastAsia="宋体" w:hAnsi="宋体" w:cs="Arial"/>
                <w:color w:val="000000"/>
                <w:sz w:val="24"/>
                <w:szCs w:val="24"/>
              </w:rPr>
              <w:t>3</w:t>
            </w:r>
          </w:p>
        </w:tc>
        <w:tc>
          <w:tcPr>
            <w:tcW w:w="1600" w:type="dxa"/>
            <w:shd w:val="clear" w:color="auto" w:fill="FFFFFF"/>
            <w:tcMar>
              <w:top w:w="0" w:type="dxa"/>
              <w:left w:w="108" w:type="dxa"/>
              <w:bottom w:w="0" w:type="dxa"/>
              <w:right w:w="108" w:type="dxa"/>
            </w:tcMar>
            <w:hideMark/>
          </w:tcPr>
          <w:p w:rsidR="005E5692" w:rsidRPr="001A19AD" w:rsidRDefault="005E5692" w:rsidP="001A19AD">
            <w:pPr>
              <w:spacing w:line="360" w:lineRule="auto"/>
              <w:jc w:val="center"/>
              <w:rPr>
                <w:rFonts w:ascii="宋体" w:eastAsia="宋体" w:hAnsi="宋体" w:cs="Arial"/>
                <w:color w:val="000000"/>
                <w:sz w:val="24"/>
                <w:szCs w:val="24"/>
              </w:rPr>
            </w:pPr>
            <w:r w:rsidRPr="001A19AD">
              <w:rPr>
                <w:rFonts w:ascii="宋体" w:eastAsia="宋体" w:hAnsi="宋体" w:hint="eastAsia"/>
                <w:sz w:val="24"/>
                <w:szCs w:val="24"/>
              </w:rPr>
              <w:t>006282</w:t>
            </w:r>
          </w:p>
        </w:tc>
        <w:tc>
          <w:tcPr>
            <w:tcW w:w="6925" w:type="dxa"/>
            <w:shd w:val="clear" w:color="auto" w:fill="FFFFFF"/>
            <w:tcMar>
              <w:top w:w="0" w:type="dxa"/>
              <w:left w:w="108" w:type="dxa"/>
              <w:bottom w:w="0" w:type="dxa"/>
              <w:right w:w="108" w:type="dxa"/>
            </w:tcMar>
            <w:hideMark/>
          </w:tcPr>
          <w:p w:rsidR="005E5692" w:rsidRPr="001A19AD" w:rsidRDefault="001A19AD" w:rsidP="001A19AD">
            <w:pPr>
              <w:spacing w:line="360" w:lineRule="auto"/>
              <w:jc w:val="center"/>
              <w:rPr>
                <w:rFonts w:ascii="宋体" w:eastAsia="宋体" w:hAnsi="宋体" w:cs="宋体"/>
                <w:color w:val="000000"/>
                <w:sz w:val="24"/>
                <w:szCs w:val="24"/>
              </w:rPr>
            </w:pPr>
            <w:r w:rsidRPr="001A19AD">
              <w:rPr>
                <w:rFonts w:ascii="宋体" w:eastAsia="宋体" w:hAnsi="宋体" w:hint="eastAsia"/>
                <w:sz w:val="24"/>
                <w:szCs w:val="24"/>
              </w:rPr>
              <w:t>摩根欧洲动力策略股票型证券投资基金(QDII)</w:t>
            </w:r>
            <w:r w:rsidR="005E5692" w:rsidRPr="001A19AD">
              <w:rPr>
                <w:rFonts w:ascii="宋体" w:eastAsia="宋体" w:hAnsi="宋体" w:hint="eastAsia"/>
                <w:sz w:val="24"/>
                <w:szCs w:val="24"/>
              </w:rPr>
              <w:t>A</w:t>
            </w:r>
          </w:p>
        </w:tc>
      </w:tr>
      <w:tr w:rsidR="005E5692" w:rsidRPr="00A046C1" w:rsidTr="001A19AD">
        <w:trPr>
          <w:trHeight w:val="288"/>
        </w:trPr>
        <w:tc>
          <w:tcPr>
            <w:tcW w:w="822" w:type="dxa"/>
            <w:shd w:val="clear" w:color="auto" w:fill="FFFFFF"/>
            <w:tcMar>
              <w:top w:w="0" w:type="dxa"/>
              <w:left w:w="108" w:type="dxa"/>
              <w:bottom w:w="0" w:type="dxa"/>
              <w:right w:w="108" w:type="dxa"/>
            </w:tcMar>
            <w:vAlign w:val="center"/>
            <w:hideMark/>
          </w:tcPr>
          <w:p w:rsidR="005E5692" w:rsidRPr="001A19AD" w:rsidRDefault="005E5692" w:rsidP="001A19AD">
            <w:pPr>
              <w:spacing w:line="360" w:lineRule="auto"/>
              <w:jc w:val="center"/>
              <w:rPr>
                <w:rFonts w:ascii="宋体" w:eastAsia="宋体" w:hAnsi="宋体" w:cs="Arial"/>
                <w:color w:val="000000"/>
                <w:sz w:val="24"/>
                <w:szCs w:val="24"/>
              </w:rPr>
            </w:pPr>
            <w:r w:rsidRPr="001A19AD">
              <w:rPr>
                <w:rFonts w:ascii="宋体" w:eastAsia="宋体" w:hAnsi="宋体" w:cs="Arial"/>
                <w:color w:val="000000"/>
                <w:sz w:val="24"/>
                <w:szCs w:val="24"/>
              </w:rPr>
              <w:t>4</w:t>
            </w:r>
          </w:p>
        </w:tc>
        <w:tc>
          <w:tcPr>
            <w:tcW w:w="1600" w:type="dxa"/>
            <w:shd w:val="clear" w:color="auto" w:fill="FFFFFF"/>
            <w:tcMar>
              <w:top w:w="0" w:type="dxa"/>
              <w:left w:w="108" w:type="dxa"/>
              <w:bottom w:w="0" w:type="dxa"/>
              <w:right w:w="108" w:type="dxa"/>
            </w:tcMar>
            <w:hideMark/>
          </w:tcPr>
          <w:p w:rsidR="005E5692" w:rsidRPr="001A19AD" w:rsidRDefault="005E5692" w:rsidP="001A19AD">
            <w:pPr>
              <w:spacing w:line="360" w:lineRule="auto"/>
              <w:jc w:val="center"/>
              <w:rPr>
                <w:rFonts w:ascii="宋体" w:eastAsia="宋体" w:hAnsi="宋体" w:cs="Arial"/>
                <w:color w:val="000000"/>
                <w:sz w:val="24"/>
                <w:szCs w:val="24"/>
              </w:rPr>
            </w:pPr>
            <w:r w:rsidRPr="001A19AD">
              <w:rPr>
                <w:rFonts w:ascii="宋体" w:eastAsia="宋体" w:hAnsi="宋体" w:hint="eastAsia"/>
                <w:sz w:val="24"/>
                <w:szCs w:val="24"/>
              </w:rPr>
              <w:t>019450</w:t>
            </w:r>
          </w:p>
        </w:tc>
        <w:tc>
          <w:tcPr>
            <w:tcW w:w="6925" w:type="dxa"/>
            <w:shd w:val="clear" w:color="auto" w:fill="FFFFFF"/>
            <w:tcMar>
              <w:top w:w="0" w:type="dxa"/>
              <w:left w:w="108" w:type="dxa"/>
              <w:bottom w:w="0" w:type="dxa"/>
              <w:right w:w="108" w:type="dxa"/>
            </w:tcMar>
            <w:hideMark/>
          </w:tcPr>
          <w:p w:rsidR="005E5692" w:rsidRPr="001A19AD" w:rsidRDefault="001A19AD" w:rsidP="001A19AD">
            <w:pPr>
              <w:spacing w:line="360" w:lineRule="auto"/>
              <w:jc w:val="center"/>
              <w:rPr>
                <w:rFonts w:ascii="宋体" w:eastAsia="宋体" w:hAnsi="宋体" w:cs="宋体"/>
                <w:color w:val="000000"/>
                <w:sz w:val="24"/>
                <w:szCs w:val="24"/>
              </w:rPr>
            </w:pPr>
            <w:r w:rsidRPr="001A19AD">
              <w:rPr>
                <w:rFonts w:ascii="宋体" w:eastAsia="宋体" w:hAnsi="宋体" w:hint="eastAsia"/>
                <w:sz w:val="24"/>
                <w:szCs w:val="24"/>
              </w:rPr>
              <w:t>摩根欧洲动力策略股票型证券投资基金(QDII)</w:t>
            </w:r>
            <w:r w:rsidR="005E5692" w:rsidRPr="001A19AD">
              <w:rPr>
                <w:rFonts w:ascii="宋体" w:eastAsia="宋体" w:hAnsi="宋体" w:hint="eastAsia"/>
                <w:sz w:val="24"/>
                <w:szCs w:val="24"/>
              </w:rPr>
              <w:t>C</w:t>
            </w:r>
          </w:p>
        </w:tc>
      </w:tr>
      <w:tr w:rsidR="005E5692" w:rsidRPr="00A046C1" w:rsidTr="001A19AD">
        <w:trPr>
          <w:trHeight w:val="288"/>
        </w:trPr>
        <w:tc>
          <w:tcPr>
            <w:tcW w:w="822" w:type="dxa"/>
            <w:shd w:val="clear" w:color="auto" w:fill="FFFFFF"/>
            <w:tcMar>
              <w:top w:w="0" w:type="dxa"/>
              <w:left w:w="108" w:type="dxa"/>
              <w:bottom w:w="0" w:type="dxa"/>
              <w:right w:w="108" w:type="dxa"/>
            </w:tcMar>
            <w:vAlign w:val="center"/>
          </w:tcPr>
          <w:p w:rsidR="005E5692" w:rsidRPr="001A19AD" w:rsidRDefault="005E5692" w:rsidP="001A19AD">
            <w:pPr>
              <w:spacing w:line="360" w:lineRule="auto"/>
              <w:jc w:val="center"/>
              <w:rPr>
                <w:rFonts w:ascii="宋体" w:eastAsia="宋体" w:hAnsi="宋体" w:cs="Arial"/>
                <w:color w:val="000000"/>
                <w:sz w:val="24"/>
                <w:szCs w:val="24"/>
              </w:rPr>
            </w:pPr>
            <w:r w:rsidRPr="001A19AD">
              <w:rPr>
                <w:rFonts w:ascii="宋体" w:eastAsia="宋体" w:hAnsi="宋体" w:cs="Arial" w:hint="eastAsia"/>
                <w:color w:val="000000"/>
                <w:sz w:val="24"/>
                <w:szCs w:val="24"/>
              </w:rPr>
              <w:t>5</w:t>
            </w:r>
          </w:p>
        </w:tc>
        <w:tc>
          <w:tcPr>
            <w:tcW w:w="1600" w:type="dxa"/>
            <w:shd w:val="clear" w:color="auto" w:fill="FFFFFF"/>
            <w:tcMar>
              <w:top w:w="0" w:type="dxa"/>
              <w:left w:w="108" w:type="dxa"/>
              <w:bottom w:w="0" w:type="dxa"/>
              <w:right w:w="108" w:type="dxa"/>
            </w:tcMar>
          </w:tcPr>
          <w:p w:rsidR="005E5692" w:rsidRPr="001A19AD" w:rsidRDefault="005E5692" w:rsidP="001A19AD">
            <w:pPr>
              <w:spacing w:line="360" w:lineRule="auto"/>
              <w:jc w:val="center"/>
              <w:rPr>
                <w:rFonts w:ascii="宋体" w:eastAsia="宋体" w:hAnsi="宋体" w:cs="Arial"/>
                <w:color w:val="000000"/>
                <w:sz w:val="24"/>
                <w:szCs w:val="24"/>
              </w:rPr>
            </w:pPr>
            <w:r w:rsidRPr="001A19AD">
              <w:rPr>
                <w:rFonts w:ascii="宋体" w:eastAsia="宋体" w:hAnsi="宋体" w:hint="eastAsia"/>
                <w:sz w:val="24"/>
                <w:szCs w:val="24"/>
              </w:rPr>
              <w:t>017970</w:t>
            </w:r>
          </w:p>
        </w:tc>
        <w:tc>
          <w:tcPr>
            <w:tcW w:w="6925" w:type="dxa"/>
            <w:shd w:val="clear" w:color="auto" w:fill="FFFFFF"/>
            <w:tcMar>
              <w:top w:w="0" w:type="dxa"/>
              <w:left w:w="108" w:type="dxa"/>
              <w:bottom w:w="0" w:type="dxa"/>
              <w:right w:w="108" w:type="dxa"/>
            </w:tcMar>
          </w:tcPr>
          <w:p w:rsidR="005E5692" w:rsidRPr="001A19AD" w:rsidRDefault="001A19AD" w:rsidP="001A19AD">
            <w:pPr>
              <w:spacing w:line="360" w:lineRule="auto"/>
              <w:jc w:val="center"/>
              <w:rPr>
                <w:rFonts w:ascii="宋体" w:eastAsia="宋体" w:hAnsi="宋体"/>
                <w:color w:val="000000"/>
                <w:sz w:val="24"/>
                <w:szCs w:val="24"/>
              </w:rPr>
            </w:pPr>
            <w:r w:rsidRPr="001A19AD">
              <w:rPr>
                <w:rFonts w:ascii="宋体" w:eastAsia="宋体" w:hAnsi="宋体" w:hint="eastAsia"/>
                <w:sz w:val="24"/>
                <w:szCs w:val="24"/>
              </w:rPr>
              <w:t>摩根海外稳健配置混合型证券投资基金(QDII-FOF)</w:t>
            </w:r>
            <w:r w:rsidR="005E5692" w:rsidRPr="001A19AD">
              <w:rPr>
                <w:rFonts w:ascii="宋体" w:eastAsia="宋体" w:hAnsi="宋体" w:hint="eastAsia"/>
                <w:sz w:val="24"/>
                <w:szCs w:val="24"/>
              </w:rPr>
              <w:t>人民币A</w:t>
            </w:r>
          </w:p>
        </w:tc>
      </w:tr>
      <w:tr w:rsidR="005E5692" w:rsidRPr="00A046C1" w:rsidTr="001A19AD">
        <w:trPr>
          <w:trHeight w:val="288"/>
        </w:trPr>
        <w:tc>
          <w:tcPr>
            <w:tcW w:w="822" w:type="dxa"/>
            <w:shd w:val="clear" w:color="auto" w:fill="FFFFFF"/>
            <w:tcMar>
              <w:top w:w="0" w:type="dxa"/>
              <w:left w:w="108" w:type="dxa"/>
              <w:bottom w:w="0" w:type="dxa"/>
              <w:right w:w="108" w:type="dxa"/>
            </w:tcMar>
            <w:vAlign w:val="center"/>
          </w:tcPr>
          <w:p w:rsidR="005E5692" w:rsidRPr="001A19AD" w:rsidRDefault="005E5692" w:rsidP="001A19AD">
            <w:pPr>
              <w:spacing w:line="360" w:lineRule="auto"/>
              <w:jc w:val="center"/>
              <w:rPr>
                <w:rFonts w:ascii="宋体" w:eastAsia="宋体" w:hAnsi="宋体" w:cs="Arial"/>
                <w:color w:val="000000"/>
                <w:sz w:val="24"/>
                <w:szCs w:val="24"/>
              </w:rPr>
            </w:pPr>
            <w:r w:rsidRPr="001A19AD">
              <w:rPr>
                <w:rFonts w:ascii="宋体" w:eastAsia="宋体" w:hAnsi="宋体" w:cs="Arial" w:hint="eastAsia"/>
                <w:color w:val="000000"/>
                <w:sz w:val="24"/>
                <w:szCs w:val="24"/>
              </w:rPr>
              <w:t>6</w:t>
            </w:r>
          </w:p>
        </w:tc>
        <w:tc>
          <w:tcPr>
            <w:tcW w:w="1600" w:type="dxa"/>
            <w:shd w:val="clear" w:color="auto" w:fill="FFFFFF"/>
            <w:tcMar>
              <w:top w:w="0" w:type="dxa"/>
              <w:left w:w="108" w:type="dxa"/>
              <w:bottom w:w="0" w:type="dxa"/>
              <w:right w:w="108" w:type="dxa"/>
            </w:tcMar>
          </w:tcPr>
          <w:p w:rsidR="005E5692" w:rsidRPr="001A19AD" w:rsidRDefault="005E5692" w:rsidP="001A19AD">
            <w:pPr>
              <w:spacing w:line="360" w:lineRule="auto"/>
              <w:jc w:val="center"/>
              <w:rPr>
                <w:rFonts w:ascii="宋体" w:eastAsia="宋体" w:hAnsi="宋体" w:cs="Arial"/>
                <w:color w:val="000000"/>
                <w:sz w:val="24"/>
                <w:szCs w:val="24"/>
              </w:rPr>
            </w:pPr>
            <w:r w:rsidRPr="001A19AD">
              <w:rPr>
                <w:rFonts w:ascii="宋体" w:eastAsia="宋体" w:hAnsi="宋体" w:hint="eastAsia"/>
                <w:sz w:val="24"/>
                <w:szCs w:val="24"/>
              </w:rPr>
              <w:t>020512</w:t>
            </w:r>
          </w:p>
        </w:tc>
        <w:tc>
          <w:tcPr>
            <w:tcW w:w="6925" w:type="dxa"/>
            <w:shd w:val="clear" w:color="auto" w:fill="FFFFFF"/>
            <w:tcMar>
              <w:top w:w="0" w:type="dxa"/>
              <w:left w:w="108" w:type="dxa"/>
              <w:bottom w:w="0" w:type="dxa"/>
              <w:right w:w="108" w:type="dxa"/>
            </w:tcMar>
          </w:tcPr>
          <w:p w:rsidR="005E5692" w:rsidRPr="001A19AD" w:rsidRDefault="001A19AD" w:rsidP="001A19AD">
            <w:pPr>
              <w:spacing w:line="360" w:lineRule="auto"/>
              <w:jc w:val="center"/>
              <w:rPr>
                <w:rFonts w:ascii="宋体" w:eastAsia="宋体" w:hAnsi="宋体"/>
                <w:color w:val="000000"/>
                <w:sz w:val="24"/>
                <w:szCs w:val="24"/>
              </w:rPr>
            </w:pPr>
            <w:r w:rsidRPr="001A19AD">
              <w:rPr>
                <w:rFonts w:ascii="宋体" w:eastAsia="宋体" w:hAnsi="宋体" w:hint="eastAsia"/>
                <w:sz w:val="24"/>
                <w:szCs w:val="24"/>
              </w:rPr>
              <w:t>摩根海外稳健配置混合型证券投资基金(QDII-FOF)</w:t>
            </w:r>
            <w:r w:rsidR="005E5692" w:rsidRPr="001A19AD">
              <w:rPr>
                <w:rFonts w:ascii="宋体" w:eastAsia="宋体" w:hAnsi="宋体" w:hint="eastAsia"/>
                <w:sz w:val="24"/>
                <w:szCs w:val="24"/>
              </w:rPr>
              <w:t>人民币C</w:t>
            </w:r>
          </w:p>
        </w:tc>
      </w:tr>
      <w:tr w:rsidR="005E5692" w:rsidRPr="00A046C1" w:rsidTr="001A19AD">
        <w:trPr>
          <w:trHeight w:val="288"/>
        </w:trPr>
        <w:tc>
          <w:tcPr>
            <w:tcW w:w="822" w:type="dxa"/>
            <w:shd w:val="clear" w:color="auto" w:fill="FFFFFF"/>
            <w:tcMar>
              <w:top w:w="0" w:type="dxa"/>
              <w:left w:w="108" w:type="dxa"/>
              <w:bottom w:w="0" w:type="dxa"/>
              <w:right w:w="108" w:type="dxa"/>
            </w:tcMar>
            <w:vAlign w:val="center"/>
          </w:tcPr>
          <w:p w:rsidR="005E5692" w:rsidRPr="001A19AD" w:rsidRDefault="005E5692" w:rsidP="001A19AD">
            <w:pPr>
              <w:spacing w:line="360" w:lineRule="auto"/>
              <w:jc w:val="center"/>
              <w:rPr>
                <w:rFonts w:ascii="宋体" w:eastAsia="宋体" w:hAnsi="宋体" w:cs="Arial"/>
                <w:color w:val="000000"/>
                <w:sz w:val="24"/>
                <w:szCs w:val="24"/>
              </w:rPr>
            </w:pPr>
            <w:r w:rsidRPr="001A19AD">
              <w:rPr>
                <w:rFonts w:ascii="宋体" w:eastAsia="宋体" w:hAnsi="宋体" w:cs="Arial" w:hint="eastAsia"/>
                <w:color w:val="000000"/>
                <w:sz w:val="24"/>
                <w:szCs w:val="24"/>
              </w:rPr>
              <w:t>7</w:t>
            </w:r>
          </w:p>
        </w:tc>
        <w:tc>
          <w:tcPr>
            <w:tcW w:w="1600" w:type="dxa"/>
            <w:shd w:val="clear" w:color="auto" w:fill="FFFFFF"/>
            <w:tcMar>
              <w:top w:w="0" w:type="dxa"/>
              <w:left w:w="108" w:type="dxa"/>
              <w:bottom w:w="0" w:type="dxa"/>
              <w:right w:w="108" w:type="dxa"/>
            </w:tcMar>
          </w:tcPr>
          <w:p w:rsidR="005E5692" w:rsidRPr="001A19AD" w:rsidRDefault="005E5692" w:rsidP="001A19AD">
            <w:pPr>
              <w:spacing w:line="360" w:lineRule="auto"/>
              <w:jc w:val="center"/>
              <w:rPr>
                <w:rFonts w:ascii="宋体" w:eastAsia="宋体" w:hAnsi="宋体" w:cs="Arial"/>
                <w:color w:val="000000"/>
                <w:sz w:val="24"/>
                <w:szCs w:val="24"/>
              </w:rPr>
            </w:pPr>
            <w:r w:rsidRPr="001A19AD">
              <w:rPr>
                <w:rFonts w:ascii="宋体" w:eastAsia="宋体" w:hAnsi="宋体" w:hint="eastAsia"/>
                <w:sz w:val="24"/>
                <w:szCs w:val="24"/>
              </w:rPr>
              <w:t>019172</w:t>
            </w:r>
          </w:p>
        </w:tc>
        <w:tc>
          <w:tcPr>
            <w:tcW w:w="6925" w:type="dxa"/>
            <w:shd w:val="clear" w:color="auto" w:fill="FFFFFF"/>
            <w:tcMar>
              <w:top w:w="0" w:type="dxa"/>
              <w:left w:w="108" w:type="dxa"/>
              <w:bottom w:w="0" w:type="dxa"/>
              <w:right w:w="108" w:type="dxa"/>
            </w:tcMar>
          </w:tcPr>
          <w:p w:rsidR="005E5692" w:rsidRPr="001A19AD" w:rsidRDefault="001A19AD" w:rsidP="001A19AD">
            <w:pPr>
              <w:spacing w:line="360" w:lineRule="auto"/>
              <w:jc w:val="center"/>
              <w:rPr>
                <w:rFonts w:ascii="宋体" w:eastAsia="宋体" w:hAnsi="宋体"/>
                <w:color w:val="000000"/>
                <w:sz w:val="24"/>
                <w:szCs w:val="24"/>
              </w:rPr>
            </w:pPr>
            <w:r w:rsidRPr="001A19AD">
              <w:rPr>
                <w:rFonts w:ascii="宋体" w:eastAsia="宋体" w:hAnsi="宋体" w:hint="eastAsia"/>
                <w:sz w:val="24"/>
                <w:szCs w:val="24"/>
              </w:rPr>
              <w:t>摩根纳斯达克100指数型发起式证券投资基金(QDII)</w:t>
            </w:r>
            <w:r w:rsidR="005E5692" w:rsidRPr="001A19AD">
              <w:rPr>
                <w:rFonts w:ascii="宋体" w:eastAsia="宋体" w:hAnsi="宋体" w:hint="eastAsia"/>
                <w:sz w:val="24"/>
                <w:szCs w:val="24"/>
              </w:rPr>
              <w:t>人民币A</w:t>
            </w:r>
          </w:p>
        </w:tc>
      </w:tr>
      <w:tr w:rsidR="005E5692" w:rsidRPr="00A046C1" w:rsidTr="001A19AD">
        <w:trPr>
          <w:trHeight w:val="288"/>
        </w:trPr>
        <w:tc>
          <w:tcPr>
            <w:tcW w:w="822" w:type="dxa"/>
            <w:shd w:val="clear" w:color="auto" w:fill="FFFFFF"/>
            <w:tcMar>
              <w:top w:w="0" w:type="dxa"/>
              <w:left w:w="108" w:type="dxa"/>
              <w:bottom w:w="0" w:type="dxa"/>
              <w:right w:w="108" w:type="dxa"/>
            </w:tcMar>
            <w:vAlign w:val="center"/>
          </w:tcPr>
          <w:p w:rsidR="005E5692" w:rsidRPr="001A19AD" w:rsidRDefault="005E5692" w:rsidP="001A19AD">
            <w:pPr>
              <w:spacing w:line="360" w:lineRule="auto"/>
              <w:jc w:val="center"/>
              <w:rPr>
                <w:rFonts w:ascii="宋体" w:eastAsia="宋体" w:hAnsi="宋体" w:cs="Arial"/>
                <w:color w:val="000000"/>
                <w:sz w:val="24"/>
                <w:szCs w:val="24"/>
              </w:rPr>
            </w:pPr>
            <w:r w:rsidRPr="001A19AD">
              <w:rPr>
                <w:rFonts w:ascii="宋体" w:eastAsia="宋体" w:hAnsi="宋体" w:cs="Arial" w:hint="eastAsia"/>
                <w:color w:val="000000"/>
                <w:sz w:val="24"/>
                <w:szCs w:val="24"/>
              </w:rPr>
              <w:t>8</w:t>
            </w:r>
          </w:p>
        </w:tc>
        <w:tc>
          <w:tcPr>
            <w:tcW w:w="1600" w:type="dxa"/>
            <w:shd w:val="clear" w:color="auto" w:fill="FFFFFF"/>
            <w:tcMar>
              <w:top w:w="0" w:type="dxa"/>
              <w:left w:w="108" w:type="dxa"/>
              <w:bottom w:w="0" w:type="dxa"/>
              <w:right w:w="108" w:type="dxa"/>
            </w:tcMar>
          </w:tcPr>
          <w:p w:rsidR="005E5692" w:rsidRPr="001A19AD" w:rsidRDefault="005E5692" w:rsidP="001A19AD">
            <w:pPr>
              <w:spacing w:line="360" w:lineRule="auto"/>
              <w:jc w:val="center"/>
              <w:rPr>
                <w:rFonts w:ascii="宋体" w:eastAsia="宋体" w:hAnsi="宋体" w:cs="Arial"/>
                <w:color w:val="000000"/>
                <w:sz w:val="24"/>
                <w:szCs w:val="24"/>
              </w:rPr>
            </w:pPr>
            <w:r w:rsidRPr="001A19AD">
              <w:rPr>
                <w:rFonts w:ascii="宋体" w:eastAsia="宋体" w:hAnsi="宋体" w:hint="eastAsia"/>
                <w:sz w:val="24"/>
                <w:szCs w:val="24"/>
              </w:rPr>
              <w:t>019173</w:t>
            </w:r>
          </w:p>
        </w:tc>
        <w:tc>
          <w:tcPr>
            <w:tcW w:w="6925" w:type="dxa"/>
            <w:shd w:val="clear" w:color="auto" w:fill="FFFFFF"/>
            <w:tcMar>
              <w:top w:w="0" w:type="dxa"/>
              <w:left w:w="108" w:type="dxa"/>
              <w:bottom w:w="0" w:type="dxa"/>
              <w:right w:w="108" w:type="dxa"/>
            </w:tcMar>
          </w:tcPr>
          <w:p w:rsidR="005E5692" w:rsidRPr="001A19AD" w:rsidRDefault="001A19AD" w:rsidP="001A19AD">
            <w:pPr>
              <w:spacing w:line="360" w:lineRule="auto"/>
              <w:jc w:val="center"/>
              <w:rPr>
                <w:rFonts w:ascii="宋体" w:eastAsia="宋体" w:hAnsi="宋体"/>
                <w:color w:val="000000"/>
                <w:sz w:val="24"/>
                <w:szCs w:val="24"/>
              </w:rPr>
            </w:pPr>
            <w:r w:rsidRPr="001A19AD">
              <w:rPr>
                <w:rFonts w:ascii="宋体" w:eastAsia="宋体" w:hAnsi="宋体" w:hint="eastAsia"/>
                <w:sz w:val="24"/>
                <w:szCs w:val="24"/>
              </w:rPr>
              <w:t>摩根纳斯达克100指数型发起式证券投资基金(QDII)</w:t>
            </w:r>
            <w:r w:rsidR="005E5692" w:rsidRPr="001A19AD">
              <w:rPr>
                <w:rFonts w:ascii="宋体" w:eastAsia="宋体" w:hAnsi="宋体" w:hint="eastAsia"/>
                <w:sz w:val="24"/>
                <w:szCs w:val="24"/>
              </w:rPr>
              <w:t>人民币C</w:t>
            </w:r>
          </w:p>
        </w:tc>
      </w:tr>
    </w:tbl>
    <w:p w:rsidR="00A046C1" w:rsidRPr="00A046C1" w:rsidRDefault="00A046C1" w:rsidP="00A046C1">
      <w:pPr>
        <w:spacing w:line="276" w:lineRule="auto"/>
        <w:rPr>
          <w:rFonts w:ascii="宋体" w:eastAsia="宋体" w:hAnsi="宋体" w:cs="Tahoma"/>
          <w:sz w:val="24"/>
          <w:szCs w:val="24"/>
        </w:rPr>
      </w:pPr>
    </w:p>
    <w:p w:rsidR="00F62FAD" w:rsidRPr="00A046C1" w:rsidRDefault="00F62FAD" w:rsidP="001A19AD">
      <w:pPr>
        <w:spacing w:line="360" w:lineRule="auto"/>
        <w:ind w:firstLine="435"/>
        <w:rPr>
          <w:rFonts w:ascii="宋体" w:eastAsia="宋体" w:hAnsi="宋体" w:cs="Tahoma"/>
          <w:sz w:val="24"/>
          <w:szCs w:val="24"/>
        </w:rPr>
      </w:pPr>
      <w:r w:rsidRPr="00A046C1">
        <w:rPr>
          <w:rFonts w:ascii="宋体" w:eastAsia="宋体" w:hAnsi="宋体" w:cs="Tahoma"/>
          <w:sz w:val="24"/>
          <w:szCs w:val="24"/>
        </w:rPr>
        <w:t>二、</w:t>
      </w:r>
      <w:r w:rsidR="005E5692" w:rsidRPr="005E5692">
        <w:rPr>
          <w:rFonts w:ascii="宋体" w:eastAsia="宋体" w:hAnsi="宋体" w:cs="Tahoma" w:hint="eastAsia"/>
          <w:sz w:val="24"/>
          <w:szCs w:val="24"/>
        </w:rPr>
        <w:t>最低赎回</w:t>
      </w:r>
      <w:r w:rsidR="000155AF">
        <w:rPr>
          <w:rFonts w:ascii="宋体" w:eastAsia="宋体" w:hAnsi="宋体" w:cs="Tahoma" w:hint="eastAsia"/>
          <w:sz w:val="24"/>
          <w:szCs w:val="24"/>
        </w:rPr>
        <w:t>、</w:t>
      </w:r>
      <w:r w:rsidR="005E5692" w:rsidRPr="005E5692">
        <w:rPr>
          <w:rFonts w:ascii="宋体" w:eastAsia="宋体" w:hAnsi="宋体" w:cs="Tahoma" w:hint="eastAsia"/>
          <w:sz w:val="24"/>
          <w:szCs w:val="24"/>
        </w:rPr>
        <w:t>转换转出份额和</w:t>
      </w:r>
      <w:r w:rsidR="000155AF">
        <w:rPr>
          <w:rFonts w:ascii="宋体" w:eastAsia="宋体" w:hAnsi="宋体" w:cs="Tahoma" w:hint="eastAsia"/>
          <w:sz w:val="24"/>
          <w:szCs w:val="24"/>
        </w:rPr>
        <w:t>最低</w:t>
      </w:r>
      <w:r w:rsidR="005E5692" w:rsidRPr="005E5692">
        <w:rPr>
          <w:rFonts w:ascii="宋体" w:eastAsia="宋体" w:hAnsi="宋体" w:cs="Tahoma" w:hint="eastAsia"/>
          <w:sz w:val="24"/>
          <w:szCs w:val="24"/>
        </w:rPr>
        <w:t>持有份额调整</w:t>
      </w:r>
    </w:p>
    <w:p w:rsidR="005E5692" w:rsidRPr="005E5692" w:rsidRDefault="005E5692" w:rsidP="001A19AD">
      <w:pPr>
        <w:spacing w:line="360" w:lineRule="auto"/>
        <w:ind w:firstLine="435"/>
        <w:rPr>
          <w:rFonts w:ascii="宋体" w:eastAsia="宋体" w:hAnsi="宋体" w:cs="Tahoma"/>
          <w:sz w:val="24"/>
          <w:szCs w:val="24"/>
        </w:rPr>
      </w:pPr>
      <w:r w:rsidRPr="005E5692">
        <w:rPr>
          <w:rFonts w:ascii="宋体" w:eastAsia="宋体" w:hAnsi="宋体" w:cs="Tahoma" w:hint="eastAsia"/>
          <w:sz w:val="24"/>
          <w:szCs w:val="24"/>
        </w:rPr>
        <w:t>上述各基金</w:t>
      </w:r>
      <w:r w:rsidR="000155AF">
        <w:rPr>
          <w:rFonts w:ascii="宋体" w:eastAsia="宋体" w:hAnsi="宋体" w:cs="Tahoma" w:hint="eastAsia"/>
          <w:sz w:val="24"/>
          <w:szCs w:val="24"/>
        </w:rPr>
        <w:t>份额</w:t>
      </w:r>
      <w:r w:rsidRPr="005E5692">
        <w:rPr>
          <w:rFonts w:ascii="宋体" w:eastAsia="宋体" w:hAnsi="宋体" w:cs="Tahoma" w:hint="eastAsia"/>
          <w:sz w:val="24"/>
          <w:szCs w:val="24"/>
        </w:rPr>
        <w:t>最低赎回</w:t>
      </w:r>
      <w:r w:rsidR="000155AF">
        <w:rPr>
          <w:rFonts w:ascii="宋体" w:eastAsia="宋体" w:hAnsi="宋体" w:cs="Tahoma" w:hint="eastAsia"/>
          <w:sz w:val="24"/>
          <w:szCs w:val="24"/>
        </w:rPr>
        <w:t>、</w:t>
      </w:r>
      <w:r w:rsidRPr="005E5692">
        <w:rPr>
          <w:rFonts w:ascii="宋体" w:eastAsia="宋体" w:hAnsi="宋体" w:cs="Tahoma" w:hint="eastAsia"/>
          <w:sz w:val="24"/>
          <w:szCs w:val="24"/>
        </w:rPr>
        <w:t>转换转出份额和最低持有份额的数额限制调整为：</w:t>
      </w:r>
    </w:p>
    <w:p w:rsidR="005E5692" w:rsidRPr="005E5692" w:rsidRDefault="005E5692" w:rsidP="001A19AD">
      <w:pPr>
        <w:spacing w:line="360" w:lineRule="auto"/>
        <w:ind w:firstLine="435"/>
        <w:rPr>
          <w:rFonts w:ascii="宋体" w:eastAsia="宋体" w:hAnsi="宋体" w:cs="Tahoma"/>
          <w:sz w:val="24"/>
          <w:szCs w:val="24"/>
        </w:rPr>
      </w:pPr>
      <w:r w:rsidRPr="005E5692">
        <w:rPr>
          <w:rFonts w:ascii="宋体" w:eastAsia="宋体" w:hAnsi="宋体" w:cs="Tahoma" w:hint="eastAsia"/>
          <w:sz w:val="24"/>
          <w:szCs w:val="24"/>
        </w:rPr>
        <w:t>基金投资人赎回或转换转出基金份额时，每次赎回或转换转出的份额不得低于</w:t>
      </w:r>
      <w:r>
        <w:rPr>
          <w:rFonts w:ascii="宋体" w:eastAsia="宋体" w:hAnsi="宋体" w:cs="Tahoma" w:hint="eastAsia"/>
          <w:sz w:val="24"/>
          <w:szCs w:val="24"/>
        </w:rPr>
        <w:t>0.0</w:t>
      </w:r>
      <w:r w:rsidRPr="005E5692">
        <w:rPr>
          <w:rFonts w:ascii="宋体" w:eastAsia="宋体" w:hAnsi="宋体" w:cs="Tahoma" w:hint="eastAsia"/>
          <w:sz w:val="24"/>
          <w:szCs w:val="24"/>
        </w:rPr>
        <w:t>1份，基金账户余额不得低于</w:t>
      </w:r>
      <w:r>
        <w:rPr>
          <w:rFonts w:ascii="宋体" w:eastAsia="宋体" w:hAnsi="宋体" w:cs="Tahoma" w:hint="eastAsia"/>
          <w:sz w:val="24"/>
          <w:szCs w:val="24"/>
        </w:rPr>
        <w:t>0.0</w:t>
      </w:r>
      <w:r w:rsidRPr="005E5692">
        <w:rPr>
          <w:rFonts w:ascii="宋体" w:eastAsia="宋体" w:hAnsi="宋体" w:cs="Tahoma" w:hint="eastAsia"/>
          <w:sz w:val="24"/>
          <w:szCs w:val="24"/>
        </w:rPr>
        <w:t>1份，如进行一次赎回或转换转出后，基金账户中基金份额余额将低于</w:t>
      </w:r>
      <w:r w:rsidR="000155AF">
        <w:rPr>
          <w:rFonts w:ascii="宋体" w:eastAsia="宋体" w:hAnsi="宋体" w:cs="Tahoma" w:hint="eastAsia"/>
          <w:sz w:val="24"/>
          <w:szCs w:val="24"/>
        </w:rPr>
        <w:t>0</w:t>
      </w:r>
      <w:r w:rsidR="000155AF">
        <w:rPr>
          <w:rFonts w:ascii="宋体" w:eastAsia="宋体" w:hAnsi="宋体" w:cs="Tahoma"/>
          <w:sz w:val="24"/>
          <w:szCs w:val="24"/>
        </w:rPr>
        <w:t>.0</w:t>
      </w:r>
      <w:r w:rsidRPr="005E5692">
        <w:rPr>
          <w:rFonts w:ascii="宋体" w:eastAsia="宋体" w:hAnsi="宋体" w:cs="Tahoma" w:hint="eastAsia"/>
          <w:sz w:val="24"/>
          <w:szCs w:val="24"/>
        </w:rPr>
        <w:t>1份，应一次性赎回或转换转出。如因分红再投资、非交易过户、转托管、巨额赎回、基金转换等原因导致的账户余额少于</w:t>
      </w:r>
      <w:r>
        <w:rPr>
          <w:rFonts w:ascii="宋体" w:eastAsia="宋体" w:hAnsi="宋体" w:cs="Tahoma" w:hint="eastAsia"/>
          <w:sz w:val="24"/>
          <w:szCs w:val="24"/>
        </w:rPr>
        <w:t>0.0</w:t>
      </w:r>
      <w:r w:rsidRPr="005E5692">
        <w:rPr>
          <w:rFonts w:ascii="宋体" w:eastAsia="宋体" w:hAnsi="宋体" w:cs="Tahoma" w:hint="eastAsia"/>
          <w:sz w:val="24"/>
          <w:szCs w:val="24"/>
        </w:rPr>
        <w:t>1份之情况，不受此限，但再次赎回或转换转出时必须一次性全部赎回或转换转出。</w:t>
      </w:r>
    </w:p>
    <w:p w:rsidR="00F62FAD" w:rsidRPr="00A046C1" w:rsidRDefault="005E5692" w:rsidP="001A19AD">
      <w:pPr>
        <w:spacing w:line="360" w:lineRule="auto"/>
        <w:ind w:firstLine="435"/>
        <w:rPr>
          <w:rFonts w:ascii="宋体" w:eastAsia="宋体" w:hAnsi="宋体" w:cs="Tahoma"/>
          <w:sz w:val="24"/>
          <w:szCs w:val="24"/>
        </w:rPr>
      </w:pPr>
      <w:r w:rsidRPr="005E5692">
        <w:rPr>
          <w:rFonts w:ascii="宋体" w:eastAsia="宋体" w:hAnsi="宋体" w:cs="Tahoma" w:hint="eastAsia"/>
          <w:sz w:val="24"/>
          <w:szCs w:val="24"/>
        </w:rPr>
        <w:t>基金销售机构在符合上述规定的前提下，可根据情况调</w:t>
      </w:r>
      <w:r>
        <w:rPr>
          <w:rFonts w:ascii="宋体" w:eastAsia="宋体" w:hAnsi="宋体" w:cs="Tahoma" w:hint="eastAsia"/>
          <w:sz w:val="24"/>
          <w:szCs w:val="24"/>
        </w:rPr>
        <w:t>整</w:t>
      </w:r>
      <w:r w:rsidRPr="005E5692">
        <w:rPr>
          <w:rFonts w:ascii="宋体" w:eastAsia="宋体" w:hAnsi="宋体" w:cs="Tahoma" w:hint="eastAsia"/>
          <w:sz w:val="24"/>
          <w:szCs w:val="24"/>
        </w:rPr>
        <w:t>最低赎回</w:t>
      </w:r>
      <w:r w:rsidR="000155AF">
        <w:rPr>
          <w:rFonts w:ascii="宋体" w:eastAsia="宋体" w:hAnsi="宋体" w:cs="Tahoma" w:hint="eastAsia"/>
          <w:sz w:val="24"/>
          <w:szCs w:val="24"/>
        </w:rPr>
        <w:t>、</w:t>
      </w:r>
      <w:r w:rsidRPr="005E5692">
        <w:rPr>
          <w:rFonts w:ascii="宋体" w:eastAsia="宋体" w:hAnsi="宋体" w:cs="Tahoma" w:hint="eastAsia"/>
          <w:sz w:val="24"/>
          <w:szCs w:val="24"/>
        </w:rPr>
        <w:t>转换转出份额和</w:t>
      </w:r>
      <w:r w:rsidR="000155AF">
        <w:rPr>
          <w:rFonts w:ascii="宋体" w:eastAsia="宋体" w:hAnsi="宋体" w:cs="Tahoma" w:hint="eastAsia"/>
          <w:sz w:val="24"/>
          <w:szCs w:val="24"/>
        </w:rPr>
        <w:t>最低</w:t>
      </w:r>
      <w:r w:rsidRPr="005E5692">
        <w:rPr>
          <w:rFonts w:ascii="宋体" w:eastAsia="宋体" w:hAnsi="宋体" w:cs="Tahoma" w:hint="eastAsia"/>
          <w:sz w:val="24"/>
          <w:szCs w:val="24"/>
        </w:rPr>
        <w:t>持有份额，具体以基金销售机构公布的为准，投资人需遵循销售机构的相关规定。</w:t>
      </w:r>
    </w:p>
    <w:p w:rsidR="00FB5AC2" w:rsidRPr="00A046C1" w:rsidRDefault="00FB5AC2" w:rsidP="001A19AD">
      <w:pPr>
        <w:spacing w:line="360" w:lineRule="auto"/>
        <w:ind w:firstLine="435"/>
        <w:rPr>
          <w:rFonts w:ascii="宋体" w:eastAsia="宋体" w:hAnsi="宋体" w:cs="Tahoma"/>
          <w:sz w:val="24"/>
          <w:szCs w:val="24"/>
        </w:rPr>
      </w:pPr>
    </w:p>
    <w:p w:rsidR="00F62FAD" w:rsidRPr="00A046C1" w:rsidRDefault="00F62FAD" w:rsidP="001A19AD">
      <w:pPr>
        <w:spacing w:line="360" w:lineRule="auto"/>
        <w:ind w:firstLine="435"/>
        <w:rPr>
          <w:rFonts w:ascii="宋体" w:eastAsia="宋体" w:hAnsi="宋体" w:cs="Tahoma"/>
          <w:sz w:val="24"/>
          <w:szCs w:val="24"/>
        </w:rPr>
      </w:pPr>
      <w:r w:rsidRPr="00A046C1">
        <w:rPr>
          <w:rFonts w:ascii="宋体" w:eastAsia="宋体" w:hAnsi="宋体" w:cs="Tahoma"/>
          <w:sz w:val="24"/>
          <w:szCs w:val="24"/>
        </w:rPr>
        <w:lastRenderedPageBreak/>
        <w:t>三、其他事项</w:t>
      </w:r>
    </w:p>
    <w:p w:rsidR="00F62FAD" w:rsidRPr="00A046C1" w:rsidRDefault="00F62FAD" w:rsidP="001A19AD">
      <w:pPr>
        <w:spacing w:line="360" w:lineRule="auto"/>
        <w:ind w:firstLine="435"/>
        <w:rPr>
          <w:rFonts w:ascii="宋体" w:eastAsia="宋体" w:hAnsi="宋体" w:cs="Tahoma"/>
          <w:sz w:val="24"/>
          <w:szCs w:val="24"/>
        </w:rPr>
      </w:pPr>
      <w:r w:rsidRPr="00A046C1">
        <w:rPr>
          <w:rFonts w:ascii="宋体" w:eastAsia="宋体" w:hAnsi="宋体" w:cs="Tahoma"/>
          <w:sz w:val="24"/>
          <w:szCs w:val="24"/>
        </w:rPr>
        <w:t>1、本公告仅</w:t>
      </w:r>
      <w:r w:rsidR="005E5692" w:rsidRPr="005E5692">
        <w:rPr>
          <w:rFonts w:ascii="宋体" w:eastAsia="宋体" w:hAnsi="宋体" w:cs="Tahoma" w:hint="eastAsia"/>
          <w:sz w:val="24"/>
          <w:szCs w:val="24"/>
        </w:rPr>
        <w:t>对调整上述基金</w:t>
      </w:r>
      <w:r w:rsidR="00B25C17">
        <w:rPr>
          <w:rFonts w:ascii="宋体" w:eastAsia="宋体" w:hAnsi="宋体" w:cs="Tahoma" w:hint="eastAsia"/>
          <w:sz w:val="24"/>
          <w:szCs w:val="24"/>
        </w:rPr>
        <w:t>所列示份额的</w:t>
      </w:r>
      <w:r w:rsidR="005E5692" w:rsidRPr="005E5692">
        <w:rPr>
          <w:rFonts w:ascii="宋体" w:eastAsia="宋体" w:hAnsi="宋体" w:cs="Tahoma" w:hint="eastAsia"/>
          <w:sz w:val="24"/>
          <w:szCs w:val="24"/>
        </w:rPr>
        <w:t>最低赎回</w:t>
      </w:r>
      <w:r w:rsidR="00B25C17">
        <w:rPr>
          <w:rFonts w:ascii="宋体" w:eastAsia="宋体" w:hAnsi="宋体" w:cs="Tahoma" w:hint="eastAsia"/>
          <w:sz w:val="24"/>
          <w:szCs w:val="24"/>
        </w:rPr>
        <w:t>、</w:t>
      </w:r>
      <w:r w:rsidR="005E5692" w:rsidRPr="005E5692">
        <w:rPr>
          <w:rFonts w:ascii="宋体" w:eastAsia="宋体" w:hAnsi="宋体" w:cs="Tahoma" w:hint="eastAsia"/>
          <w:sz w:val="24"/>
          <w:szCs w:val="24"/>
        </w:rPr>
        <w:t>转换转出份额和</w:t>
      </w:r>
      <w:r w:rsidR="00B25C17">
        <w:rPr>
          <w:rFonts w:ascii="宋体" w:eastAsia="宋体" w:hAnsi="宋体" w:cs="Tahoma" w:hint="eastAsia"/>
          <w:sz w:val="24"/>
          <w:szCs w:val="24"/>
        </w:rPr>
        <w:t>最低</w:t>
      </w:r>
      <w:r w:rsidR="005E5692" w:rsidRPr="005E5692">
        <w:rPr>
          <w:rFonts w:ascii="宋体" w:eastAsia="宋体" w:hAnsi="宋体" w:cs="Tahoma" w:hint="eastAsia"/>
          <w:sz w:val="24"/>
          <w:szCs w:val="24"/>
        </w:rPr>
        <w:t>持有份额有关事项予以说明</w:t>
      </w:r>
      <w:r w:rsidRPr="00A046C1">
        <w:rPr>
          <w:rFonts w:ascii="宋体" w:eastAsia="宋体" w:hAnsi="宋体" w:cs="Tahoma"/>
          <w:sz w:val="24"/>
          <w:szCs w:val="24"/>
        </w:rPr>
        <w:t>。投资人欲了解上述基金详细情况，请阅读基金的相关法律文件。</w:t>
      </w:r>
    </w:p>
    <w:p w:rsidR="00F62FAD" w:rsidRPr="00A046C1" w:rsidRDefault="00F62FAD" w:rsidP="001A19AD">
      <w:pPr>
        <w:spacing w:line="360" w:lineRule="auto"/>
        <w:ind w:firstLine="435"/>
        <w:rPr>
          <w:rFonts w:ascii="宋体" w:eastAsia="宋体" w:hAnsi="宋体" w:cs="Tahoma"/>
          <w:sz w:val="24"/>
          <w:szCs w:val="24"/>
        </w:rPr>
      </w:pPr>
      <w:r w:rsidRPr="00A046C1">
        <w:rPr>
          <w:rFonts w:ascii="宋体" w:eastAsia="宋体" w:hAnsi="宋体" w:cs="Tahoma"/>
          <w:sz w:val="24"/>
          <w:szCs w:val="24"/>
        </w:rPr>
        <w:t>2、投资人可通过如下途径咨询详情：</w:t>
      </w:r>
    </w:p>
    <w:p w:rsidR="004C17DD" w:rsidRPr="004C17DD" w:rsidRDefault="004C17DD" w:rsidP="001A19AD">
      <w:pPr>
        <w:spacing w:line="360" w:lineRule="auto"/>
        <w:ind w:firstLine="435"/>
        <w:rPr>
          <w:rFonts w:ascii="宋体" w:eastAsia="宋体" w:hAnsi="宋体" w:cs="Tahoma"/>
          <w:sz w:val="24"/>
          <w:szCs w:val="24"/>
        </w:rPr>
      </w:pPr>
      <w:r w:rsidRPr="004C17DD">
        <w:rPr>
          <w:rFonts w:ascii="宋体" w:eastAsia="宋体" w:hAnsi="宋体" w:cs="Tahoma" w:hint="eastAsia"/>
          <w:sz w:val="24"/>
          <w:szCs w:val="24"/>
        </w:rPr>
        <w:t>摩根基金管理（中国）有限公司</w:t>
      </w:r>
    </w:p>
    <w:p w:rsidR="004C17DD" w:rsidRPr="004C17DD" w:rsidRDefault="004C17DD" w:rsidP="001A19AD">
      <w:pPr>
        <w:spacing w:line="360" w:lineRule="auto"/>
        <w:ind w:firstLine="435"/>
        <w:rPr>
          <w:rFonts w:ascii="宋体" w:eastAsia="宋体" w:hAnsi="宋体" w:cs="Tahoma"/>
          <w:sz w:val="24"/>
          <w:szCs w:val="24"/>
        </w:rPr>
      </w:pPr>
      <w:r w:rsidRPr="004C17DD">
        <w:rPr>
          <w:rFonts w:ascii="宋体" w:eastAsia="宋体" w:hAnsi="宋体" w:cs="Tahoma" w:hint="eastAsia"/>
          <w:sz w:val="24"/>
          <w:szCs w:val="24"/>
        </w:rPr>
        <w:t>客服电话：</w:t>
      </w:r>
      <w:r w:rsidRPr="004C17DD">
        <w:rPr>
          <w:rFonts w:ascii="宋体" w:eastAsia="宋体" w:hAnsi="宋体" w:cs="Tahoma"/>
          <w:sz w:val="24"/>
          <w:szCs w:val="24"/>
        </w:rPr>
        <w:t>400-889-4888</w:t>
      </w:r>
    </w:p>
    <w:p w:rsidR="004C17DD" w:rsidRDefault="004C17DD" w:rsidP="001A19AD">
      <w:pPr>
        <w:spacing w:line="360" w:lineRule="auto"/>
        <w:ind w:firstLine="435"/>
        <w:rPr>
          <w:rFonts w:ascii="宋体" w:eastAsia="宋体" w:hAnsi="宋体" w:cs="Tahoma"/>
          <w:sz w:val="24"/>
          <w:szCs w:val="24"/>
        </w:rPr>
      </w:pPr>
      <w:r w:rsidRPr="004C17DD">
        <w:rPr>
          <w:rFonts w:ascii="宋体" w:eastAsia="宋体" w:hAnsi="宋体" w:cs="Tahoma" w:hint="eastAsia"/>
          <w:sz w:val="24"/>
          <w:szCs w:val="24"/>
        </w:rPr>
        <w:t>网址：</w:t>
      </w:r>
      <w:r w:rsidRPr="004C17DD">
        <w:rPr>
          <w:rFonts w:ascii="宋体" w:eastAsia="宋体" w:hAnsi="宋体" w:cs="Tahoma"/>
          <w:sz w:val="24"/>
          <w:szCs w:val="24"/>
        </w:rPr>
        <w:t>am.jpmorgan.com/cn</w:t>
      </w:r>
    </w:p>
    <w:p w:rsidR="00F62FAD" w:rsidRPr="00A046C1" w:rsidRDefault="00F62FAD" w:rsidP="001A19AD">
      <w:pPr>
        <w:spacing w:line="360" w:lineRule="auto"/>
        <w:ind w:firstLine="435"/>
        <w:rPr>
          <w:rFonts w:ascii="宋体" w:eastAsia="宋体" w:hAnsi="宋体" w:cs="Tahoma"/>
          <w:sz w:val="24"/>
          <w:szCs w:val="24"/>
        </w:rPr>
      </w:pPr>
      <w:r w:rsidRPr="00A046C1">
        <w:rPr>
          <w:rFonts w:ascii="宋体" w:eastAsia="宋体" w:hAnsi="宋体" w:cs="Tahoma"/>
          <w:sz w:val="24"/>
          <w:szCs w:val="24"/>
        </w:rPr>
        <w:t>3、风险提示</w:t>
      </w:r>
    </w:p>
    <w:p w:rsidR="004C17DD" w:rsidRDefault="004C17DD" w:rsidP="001A19AD">
      <w:pPr>
        <w:spacing w:line="360" w:lineRule="auto"/>
        <w:ind w:firstLine="435"/>
        <w:rPr>
          <w:rFonts w:ascii="宋体" w:eastAsia="宋体" w:hAnsi="宋体" w:cs="Tahoma"/>
          <w:sz w:val="24"/>
          <w:szCs w:val="24"/>
        </w:rPr>
      </w:pPr>
      <w:r w:rsidRPr="004C17DD">
        <w:rPr>
          <w:rFonts w:ascii="宋体" w:eastAsia="宋体" w:hAnsi="宋体" w:cs="Tahoma" w:hint="eastAsia"/>
          <w:sz w:val="24"/>
          <w:szCs w:val="24"/>
        </w:rPr>
        <w:t>本基金管理人承诺以诚实信用、勤勉尽责的原则管理和运用基金财产，但不保证基金一定盈利，也不保证最低收益。基金的过往业绩并不代表其将来表现，基金管理人所管理的其他基金的业绩并不构成对本基金业绩表现的保证。投资有风险，敬请投资者认真阅读本基金的基金合同、招募说明书、基金产品资料概要等相关法律文件，并选择适合自身风险承受能力的投资品种进行投资</w:t>
      </w:r>
      <w:r>
        <w:rPr>
          <w:rFonts w:ascii="宋体" w:eastAsia="宋体" w:hAnsi="宋体" w:cs="Tahoma" w:hint="eastAsia"/>
          <w:sz w:val="24"/>
          <w:szCs w:val="24"/>
        </w:rPr>
        <w:t>。</w:t>
      </w:r>
    </w:p>
    <w:p w:rsidR="00C9769A" w:rsidRDefault="00C9769A" w:rsidP="004C17DD">
      <w:pPr>
        <w:spacing w:line="276" w:lineRule="auto"/>
        <w:ind w:firstLine="435"/>
        <w:rPr>
          <w:rFonts w:ascii="宋体" w:eastAsia="宋体" w:hAnsi="宋体" w:cs="Tahoma"/>
          <w:sz w:val="24"/>
          <w:szCs w:val="24"/>
        </w:rPr>
      </w:pPr>
    </w:p>
    <w:p w:rsidR="00C9769A" w:rsidRDefault="00C9769A" w:rsidP="004C17DD">
      <w:pPr>
        <w:spacing w:line="276" w:lineRule="auto"/>
        <w:ind w:firstLine="435"/>
        <w:rPr>
          <w:rFonts w:ascii="宋体" w:eastAsia="宋体" w:hAnsi="宋体" w:cs="Tahoma"/>
          <w:sz w:val="24"/>
          <w:szCs w:val="24"/>
        </w:rPr>
      </w:pPr>
      <w:r w:rsidRPr="0095152A">
        <w:rPr>
          <w:rFonts w:ascii="宋体" w:eastAsia="宋体" w:hAnsi="宋体" w:cs="Tahoma"/>
          <w:sz w:val="24"/>
          <w:szCs w:val="24"/>
        </w:rPr>
        <w:t>特此公告</w:t>
      </w:r>
      <w:r w:rsidRPr="0095152A">
        <w:rPr>
          <w:rFonts w:ascii="宋体" w:eastAsia="宋体" w:hAnsi="宋体" w:cs="Tahoma" w:hint="eastAsia"/>
          <w:sz w:val="24"/>
          <w:szCs w:val="24"/>
        </w:rPr>
        <w:t>。</w:t>
      </w:r>
    </w:p>
    <w:p w:rsidR="004C17DD" w:rsidRDefault="004C17DD" w:rsidP="004C17DD">
      <w:pPr>
        <w:spacing w:line="276" w:lineRule="auto"/>
        <w:ind w:firstLine="435"/>
        <w:rPr>
          <w:rFonts w:ascii="宋体" w:eastAsia="宋体" w:hAnsi="宋体" w:cs="Tahoma"/>
          <w:sz w:val="24"/>
          <w:szCs w:val="24"/>
        </w:rPr>
      </w:pPr>
    </w:p>
    <w:p w:rsidR="00FB5AC2" w:rsidRPr="00A046C1" w:rsidRDefault="00FB5AC2" w:rsidP="004C17DD">
      <w:pPr>
        <w:spacing w:line="276" w:lineRule="auto"/>
        <w:ind w:firstLine="435"/>
        <w:rPr>
          <w:rFonts w:ascii="宋体" w:eastAsia="宋体" w:hAnsi="宋体" w:cs="Tahoma"/>
          <w:sz w:val="24"/>
          <w:szCs w:val="24"/>
        </w:rPr>
      </w:pPr>
    </w:p>
    <w:p w:rsidR="00FB5AC2" w:rsidRPr="00A046C1" w:rsidRDefault="00FB5AC2" w:rsidP="00F62FAD">
      <w:pPr>
        <w:spacing w:line="276" w:lineRule="auto"/>
        <w:ind w:firstLine="435"/>
        <w:rPr>
          <w:rFonts w:ascii="宋体" w:eastAsia="宋体" w:hAnsi="宋体" w:cs="Tahoma"/>
          <w:sz w:val="24"/>
          <w:szCs w:val="24"/>
        </w:rPr>
      </w:pPr>
    </w:p>
    <w:p w:rsidR="00F62FAD" w:rsidRPr="00A046C1" w:rsidRDefault="00F62FAD" w:rsidP="00FB5AC2">
      <w:pPr>
        <w:spacing w:line="276" w:lineRule="auto"/>
        <w:ind w:firstLine="435"/>
        <w:jc w:val="right"/>
        <w:rPr>
          <w:rFonts w:ascii="宋体" w:eastAsia="宋体" w:hAnsi="宋体" w:cs="Tahoma"/>
          <w:sz w:val="24"/>
          <w:szCs w:val="24"/>
        </w:rPr>
      </w:pPr>
      <w:r w:rsidRPr="00A046C1">
        <w:rPr>
          <w:rFonts w:ascii="宋体" w:eastAsia="宋体" w:hAnsi="宋体" w:cs="Tahoma"/>
          <w:sz w:val="24"/>
          <w:szCs w:val="24"/>
        </w:rPr>
        <w:t>摩根基金管理</w:t>
      </w:r>
      <w:r w:rsidR="00A046C1" w:rsidRPr="00A046C1">
        <w:rPr>
          <w:rFonts w:ascii="宋体" w:eastAsia="宋体" w:hAnsi="宋体" w:cs="Tahoma" w:hint="eastAsia"/>
          <w:sz w:val="24"/>
          <w:szCs w:val="24"/>
        </w:rPr>
        <w:t>（中国）</w:t>
      </w:r>
      <w:r w:rsidRPr="00A046C1">
        <w:rPr>
          <w:rFonts w:ascii="宋体" w:eastAsia="宋体" w:hAnsi="宋体" w:cs="Tahoma"/>
          <w:sz w:val="24"/>
          <w:szCs w:val="24"/>
        </w:rPr>
        <w:t>有限公司</w:t>
      </w:r>
    </w:p>
    <w:p w:rsidR="00F62FAD" w:rsidRPr="00A046C1" w:rsidRDefault="00A90776" w:rsidP="00F4401F">
      <w:pPr>
        <w:spacing w:line="276" w:lineRule="auto"/>
        <w:ind w:firstLine="435"/>
        <w:jc w:val="right"/>
        <w:rPr>
          <w:rFonts w:ascii="宋体" w:eastAsia="宋体" w:hAnsi="宋体"/>
          <w:sz w:val="24"/>
          <w:szCs w:val="24"/>
        </w:rPr>
      </w:pPr>
      <w:r w:rsidRPr="00A046C1">
        <w:rPr>
          <w:rFonts w:ascii="宋体" w:eastAsia="宋体" w:hAnsi="宋体" w:cs="Tahoma"/>
          <w:sz w:val="24"/>
          <w:szCs w:val="24"/>
        </w:rPr>
        <w:t>二〇二</w:t>
      </w:r>
      <w:r w:rsidR="005E5692">
        <w:rPr>
          <w:rFonts w:ascii="宋体" w:eastAsia="宋体" w:hAnsi="宋体" w:cs="Tahoma" w:hint="eastAsia"/>
          <w:sz w:val="24"/>
          <w:szCs w:val="24"/>
        </w:rPr>
        <w:t>五</w:t>
      </w:r>
      <w:r w:rsidR="00F62FAD" w:rsidRPr="00A046C1">
        <w:rPr>
          <w:rFonts w:ascii="宋体" w:eastAsia="宋体" w:hAnsi="宋体" w:cs="Tahoma"/>
          <w:sz w:val="24"/>
          <w:szCs w:val="24"/>
        </w:rPr>
        <w:t>年</w:t>
      </w:r>
      <w:r w:rsidR="005E5692">
        <w:rPr>
          <w:rFonts w:ascii="宋体" w:eastAsia="宋体" w:hAnsi="宋体" w:cs="Tahoma" w:hint="eastAsia"/>
          <w:sz w:val="24"/>
          <w:szCs w:val="24"/>
        </w:rPr>
        <w:t>六</w:t>
      </w:r>
      <w:r w:rsidR="00F62FAD" w:rsidRPr="00A046C1">
        <w:rPr>
          <w:rFonts w:ascii="宋体" w:eastAsia="宋体" w:hAnsi="宋体" w:cs="Tahoma"/>
          <w:sz w:val="24"/>
          <w:szCs w:val="24"/>
        </w:rPr>
        <w:t>月</w:t>
      </w:r>
      <w:r w:rsidR="00A046C1" w:rsidRPr="00A046C1">
        <w:rPr>
          <w:rFonts w:ascii="宋体" w:eastAsia="宋体" w:hAnsi="宋体" w:cs="Tahoma" w:hint="eastAsia"/>
          <w:sz w:val="24"/>
          <w:szCs w:val="24"/>
        </w:rPr>
        <w:t>十二</w:t>
      </w:r>
      <w:r w:rsidR="00F62FAD" w:rsidRPr="00A046C1">
        <w:rPr>
          <w:rFonts w:ascii="宋体" w:eastAsia="宋体" w:hAnsi="宋体" w:cs="Tahoma"/>
          <w:sz w:val="24"/>
          <w:szCs w:val="24"/>
        </w:rPr>
        <w:t>日</w:t>
      </w:r>
    </w:p>
    <w:sectPr w:rsidR="00F62FAD" w:rsidRPr="00A046C1" w:rsidSect="00A046C1">
      <w:pgSz w:w="11906" w:h="16838"/>
      <w:pgMar w:top="1440" w:right="1274" w:bottom="1440" w:left="127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AC3" w:rsidRDefault="004B4AC3" w:rsidP="00F62FAD">
      <w:r>
        <w:separator/>
      </w:r>
    </w:p>
  </w:endnote>
  <w:endnote w:type="continuationSeparator" w:id="0">
    <w:p w:rsidR="004B4AC3" w:rsidRDefault="004B4AC3" w:rsidP="00F62F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AC3" w:rsidRDefault="004B4AC3" w:rsidP="00F62FAD">
      <w:r>
        <w:separator/>
      </w:r>
    </w:p>
  </w:footnote>
  <w:footnote w:type="continuationSeparator" w:id="0">
    <w:p w:rsidR="004B4AC3" w:rsidRDefault="004B4AC3" w:rsidP="00F62F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629A6"/>
    <w:multiLevelType w:val="hybridMultilevel"/>
    <w:tmpl w:val="8462433E"/>
    <w:lvl w:ilvl="0" w:tplc="7FD6A774">
      <w:start w:val="1"/>
      <w:numFmt w:val="japaneseCounting"/>
      <w:lvlText w:val="%1、"/>
      <w:lvlJc w:val="left"/>
      <w:pPr>
        <w:ind w:left="855" w:hanging="42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0FE6"/>
    <w:rsid w:val="000155AF"/>
    <w:rsid w:val="0005026F"/>
    <w:rsid w:val="000E7576"/>
    <w:rsid w:val="001163E2"/>
    <w:rsid w:val="0017522B"/>
    <w:rsid w:val="001A19AD"/>
    <w:rsid w:val="00207941"/>
    <w:rsid w:val="002A269C"/>
    <w:rsid w:val="00371261"/>
    <w:rsid w:val="003C53B7"/>
    <w:rsid w:val="003C5B5A"/>
    <w:rsid w:val="00480EFB"/>
    <w:rsid w:val="004B4AC3"/>
    <w:rsid w:val="004C17DD"/>
    <w:rsid w:val="004F6F28"/>
    <w:rsid w:val="005002DF"/>
    <w:rsid w:val="00520488"/>
    <w:rsid w:val="00561C0E"/>
    <w:rsid w:val="00562732"/>
    <w:rsid w:val="00573194"/>
    <w:rsid w:val="005E5692"/>
    <w:rsid w:val="00654F6D"/>
    <w:rsid w:val="00666845"/>
    <w:rsid w:val="00690BC8"/>
    <w:rsid w:val="00690D56"/>
    <w:rsid w:val="00785D75"/>
    <w:rsid w:val="007E115A"/>
    <w:rsid w:val="008047C0"/>
    <w:rsid w:val="00816EF4"/>
    <w:rsid w:val="00824116"/>
    <w:rsid w:val="0084363B"/>
    <w:rsid w:val="008829E6"/>
    <w:rsid w:val="00930FE6"/>
    <w:rsid w:val="0095152A"/>
    <w:rsid w:val="00A046C1"/>
    <w:rsid w:val="00A24BA3"/>
    <w:rsid w:val="00A344A6"/>
    <w:rsid w:val="00A9004F"/>
    <w:rsid w:val="00A90776"/>
    <w:rsid w:val="00AF6898"/>
    <w:rsid w:val="00B25C17"/>
    <w:rsid w:val="00B34FC7"/>
    <w:rsid w:val="00B553DB"/>
    <w:rsid w:val="00B703F3"/>
    <w:rsid w:val="00B77429"/>
    <w:rsid w:val="00BC2E8D"/>
    <w:rsid w:val="00BF7FE7"/>
    <w:rsid w:val="00C66221"/>
    <w:rsid w:val="00C9769A"/>
    <w:rsid w:val="00CB6D26"/>
    <w:rsid w:val="00D51FF2"/>
    <w:rsid w:val="00DD0CF4"/>
    <w:rsid w:val="00DD4E97"/>
    <w:rsid w:val="00E65C2C"/>
    <w:rsid w:val="00E73FA2"/>
    <w:rsid w:val="00F4401F"/>
    <w:rsid w:val="00F447F4"/>
    <w:rsid w:val="00F62FAD"/>
    <w:rsid w:val="00F631B4"/>
    <w:rsid w:val="00F75093"/>
    <w:rsid w:val="00F8641B"/>
    <w:rsid w:val="00FB3F56"/>
    <w:rsid w:val="00FB5A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F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2F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2FAD"/>
    <w:rPr>
      <w:sz w:val="18"/>
      <w:szCs w:val="18"/>
    </w:rPr>
  </w:style>
  <w:style w:type="paragraph" w:styleId="a4">
    <w:name w:val="footer"/>
    <w:basedOn w:val="a"/>
    <w:link w:val="Char0"/>
    <w:uiPriority w:val="99"/>
    <w:unhideWhenUsed/>
    <w:rsid w:val="00F62FAD"/>
    <w:pPr>
      <w:tabs>
        <w:tab w:val="center" w:pos="4153"/>
        <w:tab w:val="right" w:pos="8306"/>
      </w:tabs>
      <w:snapToGrid w:val="0"/>
      <w:jc w:val="left"/>
    </w:pPr>
    <w:rPr>
      <w:sz w:val="18"/>
      <w:szCs w:val="18"/>
    </w:rPr>
  </w:style>
  <w:style w:type="character" w:customStyle="1" w:styleId="Char0">
    <w:name w:val="页脚 Char"/>
    <w:basedOn w:val="a0"/>
    <w:link w:val="a4"/>
    <w:uiPriority w:val="99"/>
    <w:rsid w:val="00F62FAD"/>
    <w:rPr>
      <w:sz w:val="18"/>
      <w:szCs w:val="18"/>
    </w:rPr>
  </w:style>
  <w:style w:type="paragraph" w:styleId="a5">
    <w:name w:val="Normal (Web)"/>
    <w:basedOn w:val="a"/>
    <w:uiPriority w:val="99"/>
    <w:semiHidden/>
    <w:unhideWhenUsed/>
    <w:rsid w:val="00F62FAD"/>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F62FAD"/>
    <w:rPr>
      <w:color w:val="0000FF"/>
      <w:u w:val="single"/>
    </w:rPr>
  </w:style>
  <w:style w:type="paragraph" w:styleId="a7">
    <w:name w:val="List Paragraph"/>
    <w:basedOn w:val="a"/>
    <w:uiPriority w:val="34"/>
    <w:qFormat/>
    <w:rsid w:val="00A046C1"/>
    <w:pPr>
      <w:ind w:firstLineChars="200" w:firstLine="420"/>
    </w:pPr>
  </w:style>
  <w:style w:type="paragraph" w:styleId="a8">
    <w:name w:val="Balloon Text"/>
    <w:basedOn w:val="a"/>
    <w:link w:val="Char1"/>
    <w:uiPriority w:val="99"/>
    <w:semiHidden/>
    <w:unhideWhenUsed/>
    <w:rsid w:val="00480EFB"/>
    <w:rPr>
      <w:sz w:val="18"/>
      <w:szCs w:val="18"/>
    </w:rPr>
  </w:style>
  <w:style w:type="character" w:customStyle="1" w:styleId="Char1">
    <w:name w:val="批注框文本 Char"/>
    <w:basedOn w:val="a0"/>
    <w:link w:val="a8"/>
    <w:uiPriority w:val="99"/>
    <w:semiHidden/>
    <w:rsid w:val="00480EFB"/>
    <w:rPr>
      <w:sz w:val="18"/>
      <w:szCs w:val="18"/>
    </w:rPr>
  </w:style>
  <w:style w:type="character" w:styleId="a9">
    <w:name w:val="annotation reference"/>
    <w:basedOn w:val="a0"/>
    <w:uiPriority w:val="99"/>
    <w:semiHidden/>
    <w:unhideWhenUsed/>
    <w:rsid w:val="00562732"/>
    <w:rPr>
      <w:sz w:val="21"/>
      <w:szCs w:val="21"/>
    </w:rPr>
  </w:style>
  <w:style w:type="paragraph" w:styleId="aa">
    <w:name w:val="annotation text"/>
    <w:basedOn w:val="a"/>
    <w:link w:val="Char2"/>
    <w:uiPriority w:val="99"/>
    <w:semiHidden/>
    <w:unhideWhenUsed/>
    <w:rsid w:val="00562732"/>
    <w:pPr>
      <w:jc w:val="left"/>
    </w:pPr>
  </w:style>
  <w:style w:type="character" w:customStyle="1" w:styleId="Char2">
    <w:name w:val="批注文字 Char"/>
    <w:basedOn w:val="a0"/>
    <w:link w:val="aa"/>
    <w:uiPriority w:val="99"/>
    <w:semiHidden/>
    <w:rsid w:val="00562732"/>
  </w:style>
  <w:style w:type="paragraph" w:styleId="ab">
    <w:name w:val="annotation subject"/>
    <w:basedOn w:val="aa"/>
    <w:next w:val="aa"/>
    <w:link w:val="Char3"/>
    <w:uiPriority w:val="99"/>
    <w:semiHidden/>
    <w:unhideWhenUsed/>
    <w:rsid w:val="00562732"/>
    <w:rPr>
      <w:b/>
      <w:bCs/>
    </w:rPr>
  </w:style>
  <w:style w:type="character" w:customStyle="1" w:styleId="Char3">
    <w:name w:val="批注主题 Char"/>
    <w:basedOn w:val="Char2"/>
    <w:link w:val="ab"/>
    <w:uiPriority w:val="99"/>
    <w:semiHidden/>
    <w:rsid w:val="00562732"/>
    <w:rPr>
      <w:b/>
      <w:bCs/>
    </w:rPr>
  </w:style>
  <w:style w:type="character" w:styleId="ac">
    <w:name w:val="FollowedHyperlink"/>
    <w:basedOn w:val="a0"/>
    <w:uiPriority w:val="99"/>
    <w:semiHidden/>
    <w:unhideWhenUsed/>
    <w:rsid w:val="0095152A"/>
    <w:rPr>
      <w:color w:val="954F72" w:themeColor="followedHyperlink"/>
      <w:u w:val="single"/>
    </w:rPr>
  </w:style>
  <w:style w:type="paragraph" w:styleId="ad">
    <w:name w:val="Revision"/>
    <w:hidden/>
    <w:uiPriority w:val="99"/>
    <w:semiHidden/>
    <w:rsid w:val="00DD0CF4"/>
  </w:style>
</w:styles>
</file>

<file path=word/webSettings.xml><?xml version="1.0" encoding="utf-8"?>
<w:webSettings xmlns:r="http://schemas.openxmlformats.org/officeDocument/2006/relationships" xmlns:w="http://schemas.openxmlformats.org/wordprocessingml/2006/main">
  <w:divs>
    <w:div w:id="170803515">
      <w:bodyDiv w:val="1"/>
      <w:marLeft w:val="0"/>
      <w:marRight w:val="0"/>
      <w:marTop w:val="0"/>
      <w:marBottom w:val="0"/>
      <w:divBdr>
        <w:top w:val="none" w:sz="0" w:space="0" w:color="auto"/>
        <w:left w:val="none" w:sz="0" w:space="0" w:color="auto"/>
        <w:bottom w:val="none" w:sz="0" w:space="0" w:color="auto"/>
        <w:right w:val="none" w:sz="0" w:space="0" w:color="auto"/>
      </w:divBdr>
    </w:div>
    <w:div w:id="935940566">
      <w:bodyDiv w:val="1"/>
      <w:marLeft w:val="0"/>
      <w:marRight w:val="0"/>
      <w:marTop w:val="0"/>
      <w:marBottom w:val="0"/>
      <w:divBdr>
        <w:top w:val="none" w:sz="0" w:space="0" w:color="auto"/>
        <w:left w:val="none" w:sz="0" w:space="0" w:color="auto"/>
        <w:bottom w:val="none" w:sz="0" w:space="0" w:color="auto"/>
        <w:right w:val="none" w:sz="0" w:space="0" w:color="auto"/>
      </w:divBdr>
      <w:divsChild>
        <w:div w:id="874460195">
          <w:marLeft w:val="0"/>
          <w:marRight w:val="0"/>
          <w:marTop w:val="0"/>
          <w:marBottom w:val="0"/>
          <w:divBdr>
            <w:top w:val="none" w:sz="0" w:space="0" w:color="auto"/>
            <w:left w:val="none" w:sz="0" w:space="0" w:color="auto"/>
            <w:bottom w:val="none" w:sz="0" w:space="0" w:color="auto"/>
            <w:right w:val="none" w:sz="0" w:space="0" w:color="auto"/>
          </w:divBdr>
          <w:divsChild>
            <w:div w:id="36198537">
              <w:marLeft w:val="0"/>
              <w:marRight w:val="0"/>
              <w:marTop w:val="0"/>
              <w:marBottom w:val="0"/>
              <w:divBdr>
                <w:top w:val="single" w:sz="6" w:space="15" w:color="EEEEEE"/>
                <w:left w:val="none" w:sz="0" w:space="0" w:color="auto"/>
                <w:bottom w:val="none" w:sz="0" w:space="0" w:color="auto"/>
                <w:right w:val="none" w:sz="0" w:space="0" w:color="auto"/>
              </w:divBdr>
              <w:divsChild>
                <w:div w:id="200064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07215">
      <w:bodyDiv w:val="1"/>
      <w:marLeft w:val="0"/>
      <w:marRight w:val="0"/>
      <w:marTop w:val="0"/>
      <w:marBottom w:val="0"/>
      <w:divBdr>
        <w:top w:val="none" w:sz="0" w:space="0" w:color="auto"/>
        <w:left w:val="none" w:sz="0" w:space="0" w:color="auto"/>
        <w:bottom w:val="none" w:sz="0" w:space="0" w:color="auto"/>
        <w:right w:val="none" w:sz="0" w:space="0" w:color="auto"/>
      </w:divBdr>
    </w:div>
    <w:div w:id="1783304750">
      <w:bodyDiv w:val="1"/>
      <w:marLeft w:val="0"/>
      <w:marRight w:val="0"/>
      <w:marTop w:val="0"/>
      <w:marBottom w:val="0"/>
      <w:divBdr>
        <w:top w:val="none" w:sz="0" w:space="0" w:color="auto"/>
        <w:left w:val="none" w:sz="0" w:space="0" w:color="auto"/>
        <w:bottom w:val="none" w:sz="0" w:space="0" w:color="auto"/>
        <w:right w:val="none" w:sz="0" w:space="0" w:color="auto"/>
      </w:divBdr>
    </w:div>
    <w:div w:id="206713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1007</Characters>
  <Application>Microsoft Office Word</Application>
  <DocSecurity>4</DocSecurity>
  <Lines>8</Lines>
  <Paragraphs>2</Paragraphs>
  <ScaleCrop>false</ScaleCrop>
  <Company/>
  <LinksUpToDate>false</LinksUpToDate>
  <CharactersWithSpaces>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Grace.Wei@Intermediary Sales</dc:creator>
  <cp:keywords/>
  <dc:description/>
  <cp:lastModifiedBy>ZHONGM</cp:lastModifiedBy>
  <cp:revision>2</cp:revision>
  <dcterms:created xsi:type="dcterms:W3CDTF">2025-06-11T16:01:00Z</dcterms:created>
  <dcterms:modified xsi:type="dcterms:W3CDTF">2025-06-11T16:01:00Z</dcterms:modified>
</cp:coreProperties>
</file>