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2B" w:rsidRDefault="001E0D5F">
      <w:pPr>
        <w:pStyle w:val="a4"/>
        <w:autoSpaceDE w:val="0"/>
        <w:autoSpaceDN w:val="0"/>
        <w:spacing w:before="201" w:line="364" w:lineRule="auto"/>
        <w:ind w:left="0" w:right="239" w:firstLine="0"/>
        <w:jc w:val="center"/>
        <w:rPr>
          <w:rFonts w:ascii="仿宋" w:eastAsia="仿宋" w:hAnsi="仿宋" w:cs="仿宋"/>
          <w:b/>
          <w:bCs/>
          <w:spacing w:val="-8"/>
          <w:sz w:val="30"/>
          <w:szCs w:val="30"/>
          <w:lang w:val="zh-CN" w:eastAsia="zh-CN" w:bidi="zh-CN"/>
        </w:rPr>
      </w:pPr>
      <w:r>
        <w:rPr>
          <w:rFonts w:ascii="仿宋" w:eastAsia="仿宋" w:hAnsi="仿宋" w:cs="仿宋" w:hint="eastAsia"/>
          <w:b/>
          <w:bCs/>
          <w:spacing w:val="-8"/>
          <w:sz w:val="30"/>
          <w:szCs w:val="30"/>
          <w:lang w:val="zh-CN" w:eastAsia="zh-CN" w:bidi="zh-CN"/>
        </w:rPr>
        <w:t>关于增加</w:t>
      </w:r>
      <w:r>
        <w:rPr>
          <w:rFonts w:ascii="仿宋" w:eastAsia="仿宋" w:hAnsi="仿宋" w:cs="仿宋" w:hint="eastAsia"/>
          <w:b/>
          <w:bCs/>
          <w:spacing w:val="-8"/>
          <w:sz w:val="30"/>
          <w:szCs w:val="30"/>
          <w:lang w:eastAsia="zh-CN" w:bidi="zh-CN"/>
        </w:rPr>
        <w:t>中邮证券有限责任公司</w:t>
      </w:r>
      <w:r>
        <w:rPr>
          <w:rFonts w:ascii="仿宋" w:eastAsia="仿宋" w:hAnsi="仿宋" w:cs="仿宋" w:hint="eastAsia"/>
          <w:b/>
          <w:bCs/>
          <w:spacing w:val="-8"/>
          <w:sz w:val="30"/>
          <w:szCs w:val="30"/>
          <w:lang w:val="zh-CN" w:eastAsia="zh-CN" w:bidi="zh-CN"/>
        </w:rPr>
        <w:t>为</w:t>
      </w:r>
      <w:r>
        <w:rPr>
          <w:rFonts w:ascii="仿宋" w:eastAsia="仿宋" w:hAnsi="仿宋" w:cs="仿宋" w:hint="eastAsia"/>
          <w:b/>
          <w:bCs/>
          <w:spacing w:val="-8"/>
          <w:sz w:val="30"/>
          <w:szCs w:val="30"/>
          <w:lang w:eastAsia="zh-CN" w:bidi="zh-CN"/>
        </w:rPr>
        <w:t>东方基金</w:t>
      </w:r>
      <w:r>
        <w:rPr>
          <w:rFonts w:ascii="仿宋" w:eastAsia="仿宋" w:hAnsi="仿宋" w:cs="仿宋" w:hint="eastAsia"/>
          <w:b/>
          <w:bCs/>
          <w:spacing w:val="-8"/>
          <w:sz w:val="30"/>
          <w:szCs w:val="30"/>
          <w:lang w:val="zh-CN" w:eastAsia="zh-CN" w:bidi="zh-CN"/>
        </w:rPr>
        <w:t>旗下部分基金销售机构</w:t>
      </w:r>
    </w:p>
    <w:p w:rsidR="00421A2B" w:rsidRDefault="001E0D5F">
      <w:pPr>
        <w:pStyle w:val="a4"/>
        <w:autoSpaceDE w:val="0"/>
        <w:autoSpaceDN w:val="0"/>
        <w:spacing w:before="201" w:line="364" w:lineRule="auto"/>
        <w:ind w:left="0" w:right="239" w:firstLine="0"/>
        <w:jc w:val="center"/>
        <w:rPr>
          <w:rFonts w:ascii="仿宋" w:eastAsia="仿宋" w:hAnsi="仿宋" w:cs="仿宋"/>
          <w:b/>
          <w:bCs/>
          <w:spacing w:val="-8"/>
          <w:sz w:val="30"/>
          <w:szCs w:val="30"/>
          <w:lang w:val="zh-CN" w:eastAsia="zh-CN" w:bidi="zh-CN"/>
        </w:rPr>
      </w:pPr>
      <w:r>
        <w:rPr>
          <w:rFonts w:ascii="仿宋" w:eastAsia="仿宋" w:hAnsi="仿宋" w:cs="仿宋" w:hint="eastAsia"/>
          <w:b/>
          <w:bCs/>
          <w:spacing w:val="-8"/>
          <w:sz w:val="30"/>
          <w:szCs w:val="30"/>
          <w:lang w:val="zh-CN" w:eastAsia="zh-CN" w:bidi="zh-CN"/>
        </w:rPr>
        <w:t>的公告</w:t>
      </w:r>
    </w:p>
    <w:p w:rsidR="00421A2B" w:rsidRDefault="001E0D5F">
      <w:pPr>
        <w:pStyle w:val="a4"/>
        <w:autoSpaceDE w:val="0"/>
        <w:autoSpaceDN w:val="0"/>
        <w:spacing w:before="201" w:line="364" w:lineRule="auto"/>
        <w:ind w:left="220" w:right="239"/>
        <w:jc w:val="both"/>
        <w:rPr>
          <w:rFonts w:ascii="仿宋" w:eastAsia="仿宋" w:hAnsi="仿宋" w:cs="仿宋"/>
          <w:b/>
          <w:bCs/>
          <w:lang w:eastAsia="zh-CN"/>
        </w:rPr>
      </w:pPr>
      <w:bookmarkStart w:id="0" w:name="一、适用投资者范围"/>
      <w:bookmarkStart w:id="1" w:name="二、新增销售基金及业务范围"/>
      <w:bookmarkEnd w:id="0"/>
      <w:bookmarkEnd w:id="1"/>
      <w:r>
        <w:rPr>
          <w:rFonts w:ascii="仿宋" w:eastAsia="仿宋" w:hAnsi="仿宋" w:cs="仿宋" w:hint="eastAsia"/>
          <w:spacing w:val="-8"/>
          <w:sz w:val="22"/>
          <w:szCs w:val="22"/>
          <w:lang w:eastAsia="zh-CN" w:bidi="zh-CN"/>
        </w:rPr>
        <w:t>经东方基金管理股份有限公司（以下简称“本公司”）与中邮证券有限责任公司（以下简称“中邮证券”）协商一致，自</w:t>
      </w:r>
      <w:r>
        <w:rPr>
          <w:rFonts w:ascii="仿宋" w:eastAsia="仿宋" w:hAnsi="仿宋" w:cs="仿宋" w:hint="eastAsia"/>
          <w:spacing w:val="-8"/>
          <w:sz w:val="22"/>
          <w:szCs w:val="22"/>
          <w:lang w:eastAsia="zh-CN" w:bidi="zh-CN"/>
        </w:rPr>
        <w:t>2025</w:t>
      </w:r>
      <w:r>
        <w:rPr>
          <w:rFonts w:ascii="仿宋" w:eastAsia="仿宋" w:hAnsi="仿宋" w:cs="仿宋" w:hint="eastAsia"/>
          <w:spacing w:val="-8"/>
          <w:sz w:val="22"/>
          <w:szCs w:val="22"/>
          <w:lang w:eastAsia="zh-CN" w:bidi="zh-CN"/>
        </w:rPr>
        <w:t>年</w:t>
      </w:r>
      <w:r>
        <w:rPr>
          <w:rFonts w:ascii="仿宋" w:eastAsia="仿宋" w:hAnsi="仿宋" w:cs="仿宋" w:hint="eastAsia"/>
          <w:spacing w:val="-8"/>
          <w:sz w:val="22"/>
          <w:szCs w:val="22"/>
          <w:lang w:eastAsia="zh-CN" w:bidi="zh-CN"/>
        </w:rPr>
        <w:t>6</w:t>
      </w:r>
      <w:r>
        <w:rPr>
          <w:rFonts w:ascii="仿宋" w:eastAsia="仿宋" w:hAnsi="仿宋" w:cs="仿宋" w:hint="eastAsia"/>
          <w:spacing w:val="-8"/>
          <w:sz w:val="22"/>
          <w:szCs w:val="22"/>
          <w:lang w:eastAsia="zh-CN" w:bidi="zh-CN"/>
        </w:rPr>
        <w:t>月</w:t>
      </w:r>
      <w:r>
        <w:rPr>
          <w:rFonts w:ascii="仿宋" w:eastAsia="仿宋" w:hAnsi="仿宋" w:cs="仿宋" w:hint="eastAsia"/>
          <w:spacing w:val="-8"/>
          <w:sz w:val="22"/>
          <w:szCs w:val="22"/>
          <w:lang w:eastAsia="zh-CN" w:bidi="zh-CN"/>
        </w:rPr>
        <w:t>13</w:t>
      </w:r>
      <w:r>
        <w:rPr>
          <w:rFonts w:ascii="仿宋" w:eastAsia="仿宋" w:hAnsi="仿宋" w:cs="仿宋" w:hint="eastAsia"/>
          <w:spacing w:val="-8"/>
          <w:sz w:val="22"/>
          <w:szCs w:val="22"/>
          <w:lang w:eastAsia="zh-CN" w:bidi="zh-CN"/>
        </w:rPr>
        <w:t>日起，新增中邮证券办理本公司旗下部分基金的销售业务</w:t>
      </w:r>
      <w:r>
        <w:rPr>
          <w:rFonts w:ascii="仿宋" w:eastAsia="仿宋" w:hAnsi="仿宋" w:cs="仿宋" w:hint="eastAsia"/>
          <w:spacing w:val="-8"/>
          <w:sz w:val="22"/>
          <w:szCs w:val="22"/>
          <w:lang w:eastAsia="zh-CN" w:bidi="zh-CN"/>
        </w:rPr>
        <w:t>(</w:t>
      </w:r>
      <w:r>
        <w:rPr>
          <w:rFonts w:ascii="仿宋" w:eastAsia="仿宋" w:hAnsi="仿宋" w:cs="仿宋" w:hint="eastAsia"/>
          <w:spacing w:val="-8"/>
          <w:sz w:val="22"/>
          <w:szCs w:val="22"/>
          <w:lang w:eastAsia="zh-CN" w:bidi="zh-CN"/>
        </w:rPr>
        <w:t>仅限前端申购模式</w:t>
      </w:r>
      <w:r>
        <w:rPr>
          <w:rFonts w:ascii="仿宋" w:eastAsia="仿宋" w:hAnsi="仿宋" w:cs="仿宋" w:hint="eastAsia"/>
          <w:spacing w:val="-8"/>
          <w:sz w:val="22"/>
          <w:szCs w:val="22"/>
          <w:lang w:eastAsia="zh-CN" w:bidi="zh-CN"/>
        </w:rPr>
        <w:t>)</w:t>
      </w:r>
      <w:r>
        <w:rPr>
          <w:rFonts w:ascii="仿宋" w:eastAsia="仿宋" w:hAnsi="仿宋" w:cs="仿宋" w:hint="eastAsia"/>
          <w:spacing w:val="-8"/>
          <w:sz w:val="22"/>
          <w:szCs w:val="22"/>
          <w:lang w:eastAsia="zh-CN" w:bidi="zh-CN"/>
        </w:rPr>
        <w:t>。现将有关事项公告如下：</w:t>
      </w:r>
    </w:p>
    <w:p w:rsidR="00421A2B" w:rsidRDefault="001E0D5F" w:rsidP="001E0D5F">
      <w:pPr>
        <w:spacing w:beforeLines="50"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一、新增销售基金及业务范围</w:t>
      </w:r>
    </w:p>
    <w:tbl>
      <w:tblPr>
        <w:tblpPr w:leftFromText="180" w:rightFromText="180" w:vertAnchor="text" w:horzAnchor="page" w:tblpX="964" w:tblpY="351"/>
        <w:tblOverlap w:val="never"/>
        <w:tblW w:w="10489" w:type="dxa"/>
        <w:tblLayout w:type="fixed"/>
        <w:tblLook w:val="04A0"/>
      </w:tblPr>
      <w:tblGrid>
        <w:gridCol w:w="698"/>
        <w:gridCol w:w="3790"/>
        <w:gridCol w:w="1500"/>
        <w:gridCol w:w="4501"/>
      </w:tblGrid>
      <w:tr w:rsidR="00421A2B">
        <w:trPr>
          <w:trHeight w:val="330"/>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lang w:eastAsia="zh-CN"/>
              </w:rPr>
              <w:t>序号</w:t>
            </w:r>
          </w:p>
        </w:tc>
        <w:tc>
          <w:tcPr>
            <w:tcW w:w="3790" w:type="dxa"/>
            <w:tcBorders>
              <w:top w:val="single" w:sz="8" w:space="0" w:color="000000"/>
              <w:left w:val="nil"/>
              <w:bottom w:val="single" w:sz="8" w:space="0" w:color="000000"/>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lang w:eastAsia="zh-CN"/>
              </w:rPr>
              <w:t>基金名称</w:t>
            </w:r>
          </w:p>
        </w:tc>
        <w:tc>
          <w:tcPr>
            <w:tcW w:w="1500" w:type="dxa"/>
            <w:tcBorders>
              <w:top w:val="single" w:sz="8" w:space="0" w:color="000000"/>
              <w:left w:val="nil"/>
              <w:bottom w:val="single" w:sz="8" w:space="0" w:color="000000"/>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lang w:eastAsia="zh-CN"/>
              </w:rPr>
              <w:t>基金代码</w:t>
            </w:r>
          </w:p>
        </w:tc>
        <w:tc>
          <w:tcPr>
            <w:tcW w:w="4501" w:type="dxa"/>
            <w:tcBorders>
              <w:top w:val="single" w:sz="8" w:space="0" w:color="000000"/>
              <w:left w:val="nil"/>
              <w:bottom w:val="single" w:sz="8" w:space="0" w:color="000000"/>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lang w:eastAsia="zh-CN"/>
              </w:rPr>
              <w:t>开通业务</w:t>
            </w: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东方沪深</w:t>
            </w:r>
            <w:r>
              <w:rPr>
                <w:rFonts w:ascii="仿宋" w:eastAsia="仿宋" w:hAnsi="仿宋" w:cs="仿宋" w:hint="eastAsia"/>
                <w:color w:val="000000"/>
                <w:sz w:val="21"/>
                <w:szCs w:val="21"/>
                <w:lang w:eastAsia="zh-CN"/>
              </w:rPr>
              <w:t>300</w:t>
            </w:r>
            <w:r>
              <w:rPr>
                <w:rFonts w:ascii="仿宋" w:eastAsia="仿宋" w:hAnsi="仿宋" w:cs="仿宋" w:hint="eastAsia"/>
                <w:color w:val="000000"/>
                <w:sz w:val="21"/>
                <w:szCs w:val="21"/>
                <w:lang w:eastAsia="zh-CN"/>
              </w:rPr>
              <w:t>指数增强型证券投资基金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w:t>
            </w:r>
            <w:r>
              <w:rPr>
                <w:rFonts w:ascii="仿宋" w:eastAsia="仿宋" w:hAnsi="仿宋" w:cs="仿宋" w:hint="eastAsia"/>
                <w:color w:val="000000"/>
                <w:sz w:val="21"/>
                <w:szCs w:val="21"/>
                <w:lang w:eastAsia="zh-CN"/>
              </w:rPr>
              <w:t>16204</w:t>
            </w:r>
          </w:p>
        </w:tc>
        <w:tc>
          <w:tcPr>
            <w:tcW w:w="4501" w:type="dxa"/>
            <w:vMerge w:val="restart"/>
            <w:tcBorders>
              <w:top w:val="nil"/>
              <w:left w:val="nil"/>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开</w:t>
            </w:r>
            <w:r>
              <w:rPr>
                <w:rFonts w:ascii="仿宋" w:eastAsia="仿宋" w:hAnsi="仿宋" w:cs="仿宋" w:hint="eastAsia"/>
                <w:spacing w:val="-8"/>
                <w:sz w:val="21"/>
                <w:szCs w:val="21"/>
                <w:lang w:eastAsia="zh-CN" w:bidi="zh-CN"/>
              </w:rPr>
              <w:t>户、申购、赎回、定期定额投资、转换业务（仅限前端申购模式）</w:t>
            </w: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lang w:eastAsia="zh-CN"/>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lang w:eastAsia="zh-CN"/>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w:t>
            </w:r>
            <w:r>
              <w:rPr>
                <w:rFonts w:ascii="仿宋" w:eastAsia="仿宋" w:hAnsi="仿宋" w:cs="仿宋" w:hint="eastAsia"/>
                <w:color w:val="000000"/>
                <w:sz w:val="21"/>
                <w:szCs w:val="21"/>
                <w:lang w:eastAsia="zh-CN"/>
              </w:rPr>
              <w:t>16205</w:t>
            </w:r>
            <w:bookmarkStart w:id="2" w:name="_GoBack"/>
            <w:bookmarkEnd w:id="2"/>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2</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东方金账簿货币市场证券投资基金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400005</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B</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400006</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3</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东方臻享纯债债券型证券投资基金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003837</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003838</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4</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东方臻宝纯债债券型证券投资基金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006210</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006211</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5</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东方臻选纯债债券型证券投资基金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006212</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006213</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6</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东方臻慧纯债债券型证券投资基金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009463</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009464</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7</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东方可转债债券型证券投资基金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009465</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009466</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8</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东方享誉</w:t>
            </w:r>
            <w:r>
              <w:rPr>
                <w:rFonts w:ascii="仿宋" w:eastAsia="仿宋" w:hAnsi="仿宋" w:cs="仿宋" w:hint="eastAsia"/>
                <w:color w:val="000000"/>
                <w:sz w:val="21"/>
                <w:szCs w:val="21"/>
                <w:lang w:eastAsia="zh-CN"/>
              </w:rPr>
              <w:t>30</w:t>
            </w:r>
            <w:r>
              <w:rPr>
                <w:rFonts w:ascii="仿宋" w:eastAsia="仿宋" w:hAnsi="仿宋" w:cs="仿宋" w:hint="eastAsia"/>
                <w:color w:val="000000"/>
                <w:sz w:val="21"/>
                <w:szCs w:val="21"/>
                <w:lang w:eastAsia="zh-CN"/>
              </w:rPr>
              <w:t>天滚动持有债券型证券投资基金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rPr>
              <w:t>020946</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B</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rPr>
              <w:t>020947</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9</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东方享悦</w:t>
            </w:r>
            <w:r>
              <w:rPr>
                <w:rFonts w:ascii="仿宋" w:eastAsia="仿宋" w:hAnsi="仿宋" w:cs="仿宋" w:hint="eastAsia"/>
                <w:color w:val="000000"/>
                <w:sz w:val="21"/>
                <w:szCs w:val="21"/>
                <w:lang w:eastAsia="zh-CN"/>
              </w:rPr>
              <w:t>90</w:t>
            </w:r>
            <w:r>
              <w:rPr>
                <w:rFonts w:ascii="仿宋" w:eastAsia="仿宋" w:hAnsi="仿宋" w:cs="仿宋" w:hint="eastAsia"/>
                <w:color w:val="000000"/>
                <w:sz w:val="21"/>
                <w:szCs w:val="21"/>
                <w:lang w:eastAsia="zh-CN"/>
              </w:rPr>
              <w:t>天滚动持有债券型证券投资基金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rPr>
              <w:t>020850</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rPr>
              <w:t>02085</w:t>
            </w:r>
            <w:r>
              <w:rPr>
                <w:rFonts w:ascii="仿宋" w:eastAsia="仿宋" w:hAnsi="仿宋" w:cs="仿宋" w:hint="eastAsia"/>
                <w:color w:val="000000"/>
                <w:sz w:val="21"/>
                <w:szCs w:val="21"/>
                <w:lang w:eastAsia="zh-CN"/>
              </w:rPr>
              <w:t>1</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10</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东方兴润债券型证券投资基金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012539</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012540</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11</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东方臻善纯债债券型证券投资基金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012611</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012612</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lastRenderedPageBreak/>
              <w:t>13</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东方中债绿色普惠主题金融债券优选指数证券投资基金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021303</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021304</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14</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东方稳健回报债券型证券投资基金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400009</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009456</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15</w:t>
            </w:r>
          </w:p>
        </w:tc>
        <w:tc>
          <w:tcPr>
            <w:tcW w:w="379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东方强化收益债券型证券投资基金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400016</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16</w:t>
            </w:r>
          </w:p>
        </w:tc>
        <w:tc>
          <w:tcPr>
            <w:tcW w:w="3790" w:type="dxa"/>
            <w:vMerge w:val="restart"/>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东方双债添利债券型证券投资基金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400027</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400029</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90"/>
        </w:trPr>
        <w:tc>
          <w:tcPr>
            <w:tcW w:w="698" w:type="dxa"/>
            <w:vMerge/>
            <w:tcBorders>
              <w:top w:val="nil"/>
              <w:left w:val="single" w:sz="8" w:space="0" w:color="000000"/>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top w:val="nil"/>
              <w:left w:val="nil"/>
              <w:bottom w:val="single" w:sz="8" w:space="0" w:color="000000"/>
              <w:right w:val="single" w:sz="8" w:space="0" w:color="000000"/>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D</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019095</w:t>
            </w:r>
          </w:p>
        </w:tc>
        <w:tc>
          <w:tcPr>
            <w:tcW w:w="4501" w:type="dxa"/>
            <w:vMerge/>
            <w:tcBorders>
              <w:left w:val="nil"/>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17</w:t>
            </w:r>
          </w:p>
        </w:tc>
        <w:tc>
          <w:tcPr>
            <w:tcW w:w="3790" w:type="dxa"/>
            <w:tcBorders>
              <w:top w:val="nil"/>
              <w:left w:val="nil"/>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东方金证通货币市场基金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B</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009976</w:t>
            </w:r>
          </w:p>
        </w:tc>
        <w:tc>
          <w:tcPr>
            <w:tcW w:w="4501" w:type="dxa"/>
            <w:vMerge/>
            <w:tcBorders>
              <w:left w:val="nil"/>
              <w:bottom w:val="single" w:sz="8" w:space="0" w:color="000000"/>
              <w:right w:val="single" w:sz="8" w:space="0" w:color="000000"/>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tcBorders>
              <w:top w:val="nil"/>
              <w:left w:val="single" w:sz="8" w:space="0" w:color="000000"/>
              <w:bottom w:val="single" w:sz="8" w:space="0" w:color="000000"/>
              <w:right w:val="single" w:sz="8" w:space="0" w:color="000000"/>
            </w:tcBorders>
            <w:shd w:val="clear" w:color="auto" w:fill="auto"/>
            <w:noWrap/>
            <w:vAlign w:val="center"/>
          </w:tcPr>
          <w:p w:rsidR="00421A2B" w:rsidRDefault="001E0D5F">
            <w:pPr>
              <w:jc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18</w:t>
            </w:r>
          </w:p>
        </w:tc>
        <w:tc>
          <w:tcPr>
            <w:tcW w:w="379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东方金证通货币市场基金</w:t>
            </w:r>
          </w:p>
        </w:tc>
        <w:tc>
          <w:tcPr>
            <w:tcW w:w="1500" w:type="dxa"/>
            <w:tcBorders>
              <w:top w:val="nil"/>
              <w:left w:val="nil"/>
              <w:bottom w:val="single" w:sz="8" w:space="0" w:color="000000"/>
              <w:right w:val="single" w:sz="8" w:space="0" w:color="000000"/>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002243</w:t>
            </w:r>
          </w:p>
        </w:tc>
        <w:tc>
          <w:tcPr>
            <w:tcW w:w="4501" w:type="dxa"/>
            <w:tcBorders>
              <w:left w:val="nil"/>
              <w:bottom w:val="single" w:sz="8" w:space="0" w:color="000000"/>
              <w:right w:val="single" w:sz="8" w:space="0" w:color="000000"/>
            </w:tcBorders>
            <w:shd w:val="clear" w:color="auto" w:fill="auto"/>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开户、申购、赎回业务（仅限前端申购模式）</w:t>
            </w:r>
          </w:p>
        </w:tc>
      </w:tr>
      <w:tr w:rsidR="00421A2B">
        <w:trPr>
          <w:trHeight w:val="360"/>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19</w:t>
            </w:r>
          </w:p>
        </w:tc>
        <w:tc>
          <w:tcPr>
            <w:tcW w:w="37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东方永泰纯债</w:t>
            </w:r>
            <w:r>
              <w:rPr>
                <w:rFonts w:ascii="仿宋" w:eastAsia="仿宋" w:hAnsi="仿宋" w:cs="仿宋" w:hint="eastAsia"/>
                <w:color w:val="000000"/>
                <w:sz w:val="21"/>
                <w:szCs w:val="21"/>
                <w:lang w:eastAsia="zh-CN"/>
              </w:rPr>
              <w:t>1</w:t>
            </w:r>
            <w:r>
              <w:rPr>
                <w:rFonts w:ascii="仿宋" w:eastAsia="仿宋" w:hAnsi="仿宋" w:cs="仿宋" w:hint="eastAsia"/>
                <w:color w:val="000000"/>
                <w:sz w:val="21"/>
                <w:szCs w:val="21"/>
                <w:lang w:eastAsia="zh-CN"/>
              </w:rPr>
              <w:t>年定期开放债券型证券投资基金</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006715</w:t>
            </w:r>
          </w:p>
        </w:tc>
        <w:tc>
          <w:tcPr>
            <w:tcW w:w="4501" w:type="dxa"/>
            <w:vMerge w:val="restart"/>
            <w:tcBorders>
              <w:top w:val="single" w:sz="4" w:space="0" w:color="auto"/>
              <w:left w:val="single" w:sz="4" w:space="0" w:color="auto"/>
              <w:right w:val="single" w:sz="4" w:space="0" w:color="auto"/>
            </w:tcBorders>
            <w:shd w:val="clear" w:color="auto" w:fill="auto"/>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开户、申购、赎回、转换业务（仅限前端申购模式）</w:t>
            </w:r>
          </w:p>
        </w:tc>
      </w:tr>
      <w:tr w:rsidR="00421A2B">
        <w:trPr>
          <w:trHeight w:val="360"/>
        </w:trPr>
        <w:tc>
          <w:tcPr>
            <w:tcW w:w="69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lang w:eastAsia="zh-CN"/>
              </w:rPr>
            </w:pPr>
          </w:p>
        </w:tc>
        <w:tc>
          <w:tcPr>
            <w:tcW w:w="37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006716</w:t>
            </w:r>
          </w:p>
        </w:tc>
        <w:tc>
          <w:tcPr>
            <w:tcW w:w="4501" w:type="dxa"/>
            <w:vMerge/>
            <w:tcBorders>
              <w:left w:val="single" w:sz="4" w:space="0" w:color="auto"/>
              <w:right w:val="single" w:sz="4" w:space="0" w:color="auto"/>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val="restart"/>
            <w:tcBorders>
              <w:top w:val="single" w:sz="4" w:space="0" w:color="auto"/>
              <w:left w:val="single" w:sz="4" w:space="0" w:color="auto"/>
              <w:right w:val="single" w:sz="4" w:space="0" w:color="auto"/>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lang w:eastAsia="zh-CN"/>
              </w:rPr>
              <w:t>20</w:t>
            </w:r>
          </w:p>
        </w:tc>
        <w:tc>
          <w:tcPr>
            <w:tcW w:w="3790" w:type="dxa"/>
            <w:vMerge w:val="restart"/>
            <w:tcBorders>
              <w:top w:val="single" w:sz="4" w:space="0" w:color="auto"/>
              <w:left w:val="single" w:sz="4" w:space="0" w:color="auto"/>
              <w:right w:val="single" w:sz="4" w:space="0" w:color="auto"/>
            </w:tcBorders>
            <w:shd w:val="clear" w:color="auto" w:fill="auto"/>
            <w:noWrap/>
            <w:vAlign w:val="center"/>
          </w:tcPr>
          <w:p w:rsidR="00421A2B" w:rsidRDefault="001E0D5F">
            <w:pPr>
              <w:widowControl/>
              <w:jc w:val="center"/>
              <w:textAlignment w:val="center"/>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东方臻萃</w:t>
            </w:r>
            <w:r>
              <w:rPr>
                <w:rFonts w:ascii="仿宋" w:eastAsia="仿宋" w:hAnsi="仿宋" w:cs="仿宋" w:hint="eastAsia"/>
                <w:color w:val="000000"/>
                <w:sz w:val="21"/>
                <w:szCs w:val="21"/>
                <w:lang w:eastAsia="zh-CN"/>
              </w:rPr>
              <w:t>3</w:t>
            </w:r>
            <w:r>
              <w:rPr>
                <w:rFonts w:ascii="仿宋" w:eastAsia="仿宋" w:hAnsi="仿宋" w:cs="仿宋" w:hint="eastAsia"/>
                <w:color w:val="000000"/>
                <w:sz w:val="21"/>
                <w:szCs w:val="21"/>
                <w:lang w:eastAsia="zh-CN"/>
              </w:rPr>
              <w:t>个月定期开放纯债债券型证券投资基金</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A</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009461</w:t>
            </w:r>
          </w:p>
        </w:tc>
        <w:tc>
          <w:tcPr>
            <w:tcW w:w="4501" w:type="dxa"/>
            <w:vMerge/>
            <w:tcBorders>
              <w:left w:val="single" w:sz="4" w:space="0" w:color="auto"/>
              <w:right w:val="single" w:sz="4" w:space="0" w:color="auto"/>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left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left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rPr>
            </w:pPr>
            <w:r>
              <w:rPr>
                <w:rFonts w:ascii="仿宋" w:eastAsia="仿宋" w:hAnsi="仿宋" w:cs="仿宋" w:hint="eastAsia"/>
                <w:color w:val="000000"/>
                <w:sz w:val="21"/>
                <w:szCs w:val="21"/>
                <w:lang w:eastAsia="zh-CN"/>
              </w:rPr>
              <w:t>C</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009462</w:t>
            </w:r>
          </w:p>
        </w:tc>
        <w:tc>
          <w:tcPr>
            <w:tcW w:w="4501" w:type="dxa"/>
            <w:vMerge/>
            <w:tcBorders>
              <w:left w:val="single" w:sz="4" w:space="0" w:color="auto"/>
              <w:right w:val="single" w:sz="4" w:space="0" w:color="auto"/>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698" w:type="dxa"/>
            <w:vMerge/>
            <w:tcBorders>
              <w:left w:val="single" w:sz="4" w:space="0" w:color="auto"/>
              <w:bottom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3790" w:type="dxa"/>
            <w:vMerge/>
            <w:tcBorders>
              <w:left w:val="single" w:sz="4" w:space="0" w:color="auto"/>
              <w:bottom w:val="single" w:sz="4" w:space="0" w:color="auto"/>
              <w:right w:val="single" w:sz="4" w:space="0" w:color="auto"/>
            </w:tcBorders>
            <w:shd w:val="clear" w:color="auto" w:fill="auto"/>
            <w:noWrap/>
            <w:vAlign w:val="center"/>
          </w:tcPr>
          <w:p w:rsidR="00421A2B" w:rsidRDefault="00421A2B">
            <w:pPr>
              <w:jc w:val="center"/>
              <w:rPr>
                <w:rFonts w:ascii="仿宋" w:eastAsia="仿宋" w:hAnsi="仿宋" w:cs="仿宋"/>
                <w:color w:val="000000"/>
                <w:sz w:val="21"/>
                <w:szCs w:val="21"/>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widowControl/>
              <w:jc w:val="center"/>
              <w:textAlignment w:val="top"/>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D</w:t>
            </w:r>
            <w:r>
              <w:rPr>
                <w:rFonts w:ascii="仿宋" w:eastAsia="仿宋" w:hAnsi="仿宋" w:cs="仿宋" w:hint="eastAsia"/>
                <w:color w:val="000000"/>
                <w:sz w:val="21"/>
                <w:szCs w:val="21"/>
                <w:lang w:eastAsia="zh-CN"/>
              </w:rPr>
              <w:t>：</w:t>
            </w:r>
            <w:r>
              <w:rPr>
                <w:rFonts w:ascii="仿宋" w:eastAsia="仿宋" w:hAnsi="仿宋" w:cs="仿宋" w:hint="eastAsia"/>
                <w:color w:val="000000"/>
                <w:sz w:val="21"/>
                <w:szCs w:val="21"/>
                <w:lang w:eastAsia="zh-CN"/>
              </w:rPr>
              <w:t>024343</w:t>
            </w:r>
          </w:p>
        </w:tc>
        <w:tc>
          <w:tcPr>
            <w:tcW w:w="4501" w:type="dxa"/>
            <w:vMerge/>
            <w:tcBorders>
              <w:left w:val="single" w:sz="4" w:space="0" w:color="auto"/>
              <w:bottom w:val="single" w:sz="4" w:space="0" w:color="auto"/>
              <w:right w:val="single" w:sz="4" w:space="0" w:color="auto"/>
            </w:tcBorders>
            <w:shd w:val="clear" w:color="auto" w:fill="auto"/>
            <w:vAlign w:val="center"/>
          </w:tcPr>
          <w:p w:rsidR="00421A2B" w:rsidRDefault="00421A2B">
            <w:pPr>
              <w:jc w:val="center"/>
              <w:rPr>
                <w:rFonts w:ascii="仿宋" w:eastAsia="仿宋" w:hAnsi="仿宋" w:cs="仿宋"/>
                <w:color w:val="000000"/>
                <w:sz w:val="21"/>
                <w:szCs w:val="21"/>
              </w:rPr>
            </w:pPr>
          </w:p>
        </w:tc>
      </w:tr>
      <w:tr w:rsidR="00421A2B">
        <w:trPr>
          <w:trHeight w:val="360"/>
        </w:trPr>
        <w:tc>
          <w:tcPr>
            <w:tcW w:w="104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21A2B" w:rsidRDefault="001E0D5F">
            <w:pPr>
              <w:jc w:val="both"/>
              <w:rPr>
                <w:rFonts w:ascii="仿宋" w:eastAsia="仿宋" w:hAnsi="仿宋" w:cs="仿宋"/>
                <w:color w:val="000000"/>
                <w:sz w:val="21"/>
                <w:szCs w:val="21"/>
                <w:lang w:eastAsia="zh-CN"/>
              </w:rPr>
            </w:pPr>
            <w:r>
              <w:rPr>
                <w:rFonts w:ascii="仿宋" w:eastAsia="仿宋" w:hAnsi="仿宋" w:cs="仿宋" w:hint="eastAsia"/>
                <w:color w:val="000000"/>
                <w:sz w:val="21"/>
                <w:szCs w:val="21"/>
                <w:lang w:eastAsia="zh-CN"/>
              </w:rPr>
              <w:t>备注：</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2022</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5</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27</w:t>
            </w:r>
            <w:r>
              <w:rPr>
                <w:rFonts w:ascii="仿宋" w:eastAsia="仿宋" w:hAnsi="仿宋" w:cs="仿宋" w:hint="eastAsia"/>
                <w:sz w:val="21"/>
                <w:szCs w:val="21"/>
                <w:lang w:eastAsia="zh-CN"/>
              </w:rPr>
              <w:t>日起，基金管理人暂停接受非直销机构对东方金账簿货币市场证券投资基金的单笔金额</w:t>
            </w:r>
            <w:r>
              <w:rPr>
                <w:rFonts w:ascii="仿宋" w:eastAsia="仿宋" w:hAnsi="仿宋" w:cs="仿宋" w:hint="eastAsia"/>
                <w:sz w:val="21"/>
                <w:szCs w:val="21"/>
                <w:lang w:eastAsia="zh-CN"/>
              </w:rPr>
              <w:t>500</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500</w:t>
            </w:r>
            <w:r>
              <w:rPr>
                <w:rFonts w:ascii="仿宋" w:eastAsia="仿宋" w:hAnsi="仿宋" w:cs="仿宋" w:hint="eastAsia"/>
                <w:sz w:val="21"/>
                <w:szCs w:val="21"/>
                <w:lang w:eastAsia="zh-CN"/>
              </w:rPr>
              <w:t>万元）申购（包括日常申购和定期定额申购）、转换转入申请，且单个基金账户单日累计申购（包括日常申购和定期定额申购）及转换转入金额不得超过</w:t>
            </w:r>
            <w:r>
              <w:rPr>
                <w:rFonts w:ascii="仿宋" w:eastAsia="仿宋" w:hAnsi="仿宋" w:cs="仿宋" w:hint="eastAsia"/>
                <w:sz w:val="21"/>
                <w:szCs w:val="21"/>
                <w:lang w:eastAsia="zh-CN"/>
              </w:rPr>
              <w:t>500</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500</w:t>
            </w:r>
            <w:r>
              <w:rPr>
                <w:rFonts w:ascii="仿宋" w:eastAsia="仿宋" w:hAnsi="仿宋" w:cs="仿宋" w:hint="eastAsia"/>
                <w:sz w:val="21"/>
                <w:szCs w:val="21"/>
                <w:lang w:eastAsia="zh-CN"/>
              </w:rPr>
              <w:t>万元）。对于超过限额的申请，基金管理人有权拒绝，不予确认。自</w:t>
            </w:r>
            <w:r>
              <w:rPr>
                <w:rFonts w:ascii="仿宋" w:eastAsia="仿宋" w:hAnsi="仿宋" w:cs="仿宋" w:hint="eastAsia"/>
                <w:sz w:val="21"/>
                <w:szCs w:val="21"/>
                <w:lang w:eastAsia="zh-CN"/>
              </w:rPr>
              <w:t>2023</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7</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20</w:t>
            </w:r>
            <w:r>
              <w:rPr>
                <w:rFonts w:ascii="仿宋" w:eastAsia="仿宋" w:hAnsi="仿宋" w:cs="仿宋" w:hint="eastAsia"/>
                <w:sz w:val="21"/>
                <w:szCs w:val="21"/>
                <w:lang w:eastAsia="zh-CN"/>
              </w:rPr>
              <w:t>日起取消东方金账簿货币市场证券投资基金的基金份额自动升降级业务并调整基金份额最低交易限额：（</w:t>
            </w:r>
            <w:r>
              <w:rPr>
                <w:rFonts w:ascii="仿宋" w:eastAsia="仿宋" w:hAnsi="仿宋" w:cs="仿宋" w:hint="eastAsia"/>
                <w:sz w:val="21"/>
                <w:szCs w:val="21"/>
                <w:lang w:eastAsia="zh-CN"/>
              </w:rPr>
              <w:t>1</w:t>
            </w:r>
            <w:r>
              <w:rPr>
                <w:rFonts w:ascii="仿宋" w:eastAsia="仿宋" w:hAnsi="仿宋" w:cs="仿宋" w:hint="eastAsia"/>
                <w:sz w:val="21"/>
                <w:szCs w:val="21"/>
                <w:lang w:eastAsia="zh-CN"/>
              </w:rPr>
              <w:t>）取消</w:t>
            </w:r>
            <w:r>
              <w:rPr>
                <w:rFonts w:ascii="仿宋" w:eastAsia="仿宋" w:hAnsi="仿宋" w:cs="仿宋" w:hint="eastAsia"/>
                <w:sz w:val="21"/>
                <w:szCs w:val="21"/>
                <w:lang w:eastAsia="zh-CN"/>
              </w:rPr>
              <w:t>A</w:t>
            </w:r>
            <w:r>
              <w:rPr>
                <w:rFonts w:ascii="仿宋" w:eastAsia="仿宋" w:hAnsi="仿宋" w:cs="仿宋" w:hint="eastAsia"/>
                <w:sz w:val="21"/>
                <w:szCs w:val="21"/>
                <w:lang w:eastAsia="zh-CN"/>
              </w:rPr>
              <w:t>类基金份额（基金代码：</w:t>
            </w:r>
            <w:r>
              <w:rPr>
                <w:rFonts w:ascii="仿宋" w:eastAsia="仿宋" w:hAnsi="仿宋" w:cs="仿宋" w:hint="eastAsia"/>
                <w:sz w:val="21"/>
                <w:szCs w:val="21"/>
                <w:lang w:eastAsia="zh-CN"/>
              </w:rPr>
              <w:t>400005</w:t>
            </w:r>
            <w:r>
              <w:rPr>
                <w:rFonts w:ascii="仿宋" w:eastAsia="仿宋" w:hAnsi="仿宋" w:cs="仿宋" w:hint="eastAsia"/>
                <w:sz w:val="21"/>
                <w:szCs w:val="21"/>
                <w:lang w:eastAsia="zh-CN"/>
              </w:rPr>
              <w:t>）及</w:t>
            </w:r>
            <w:r>
              <w:rPr>
                <w:rFonts w:ascii="仿宋" w:eastAsia="仿宋" w:hAnsi="仿宋" w:cs="仿宋" w:hint="eastAsia"/>
                <w:sz w:val="21"/>
                <w:szCs w:val="21"/>
                <w:lang w:eastAsia="zh-CN"/>
              </w:rPr>
              <w:t>B</w:t>
            </w:r>
            <w:r>
              <w:rPr>
                <w:rFonts w:ascii="仿宋" w:eastAsia="仿宋" w:hAnsi="仿宋" w:cs="仿宋" w:hint="eastAsia"/>
                <w:sz w:val="21"/>
                <w:szCs w:val="21"/>
                <w:lang w:eastAsia="zh-CN"/>
              </w:rPr>
              <w:t>类基金</w:t>
            </w:r>
            <w:r>
              <w:rPr>
                <w:rFonts w:ascii="仿宋" w:eastAsia="仿宋" w:hAnsi="仿宋" w:cs="仿宋" w:hint="eastAsia"/>
                <w:sz w:val="21"/>
                <w:szCs w:val="21"/>
                <w:lang w:eastAsia="zh-CN"/>
              </w:rPr>
              <w:t>份额（基金代码：</w:t>
            </w:r>
            <w:r>
              <w:rPr>
                <w:rFonts w:ascii="仿宋" w:eastAsia="仿宋" w:hAnsi="仿宋" w:cs="仿宋" w:hint="eastAsia"/>
                <w:sz w:val="21"/>
                <w:szCs w:val="21"/>
                <w:lang w:eastAsia="zh-CN"/>
              </w:rPr>
              <w:t>400006</w:t>
            </w:r>
            <w:r>
              <w:rPr>
                <w:rFonts w:ascii="仿宋" w:eastAsia="仿宋" w:hAnsi="仿宋" w:cs="仿宋" w:hint="eastAsia"/>
                <w:sz w:val="21"/>
                <w:szCs w:val="21"/>
                <w:lang w:eastAsia="zh-CN"/>
              </w:rPr>
              <w:t>）自动升降级业务，即东方金账簿货币市场证券投资基金</w:t>
            </w:r>
            <w:r>
              <w:rPr>
                <w:rFonts w:ascii="仿宋" w:eastAsia="仿宋" w:hAnsi="仿宋" w:cs="仿宋" w:hint="eastAsia"/>
                <w:sz w:val="21"/>
                <w:szCs w:val="21"/>
                <w:lang w:eastAsia="zh-CN"/>
              </w:rPr>
              <w:t>A</w:t>
            </w:r>
            <w:r>
              <w:rPr>
                <w:rFonts w:ascii="仿宋" w:eastAsia="仿宋" w:hAnsi="仿宋" w:cs="仿宋" w:hint="eastAsia"/>
                <w:sz w:val="21"/>
                <w:szCs w:val="21"/>
                <w:lang w:eastAsia="zh-CN"/>
              </w:rPr>
              <w:t>类、</w:t>
            </w:r>
            <w:r>
              <w:rPr>
                <w:rFonts w:ascii="仿宋" w:eastAsia="仿宋" w:hAnsi="仿宋" w:cs="仿宋" w:hint="eastAsia"/>
                <w:sz w:val="21"/>
                <w:szCs w:val="21"/>
                <w:lang w:eastAsia="zh-CN"/>
              </w:rPr>
              <w:t>B</w:t>
            </w:r>
            <w:r>
              <w:rPr>
                <w:rFonts w:ascii="仿宋" w:eastAsia="仿宋" w:hAnsi="仿宋" w:cs="仿宋" w:hint="eastAsia"/>
                <w:sz w:val="21"/>
                <w:szCs w:val="21"/>
                <w:lang w:eastAsia="zh-CN"/>
              </w:rPr>
              <w:t>类基金份额不再进行自动份额类别的调整；（</w:t>
            </w:r>
            <w:r>
              <w:rPr>
                <w:rFonts w:ascii="仿宋" w:eastAsia="仿宋" w:hAnsi="仿宋" w:cs="仿宋" w:hint="eastAsia"/>
                <w:sz w:val="21"/>
                <w:szCs w:val="21"/>
                <w:lang w:eastAsia="zh-CN"/>
              </w:rPr>
              <w:t>2</w:t>
            </w:r>
            <w:r>
              <w:rPr>
                <w:rFonts w:ascii="仿宋" w:eastAsia="仿宋" w:hAnsi="仿宋" w:cs="仿宋" w:hint="eastAsia"/>
                <w:sz w:val="21"/>
                <w:szCs w:val="21"/>
                <w:lang w:eastAsia="zh-CN"/>
              </w:rPr>
              <w:t>）调整</w:t>
            </w:r>
            <w:r>
              <w:rPr>
                <w:rFonts w:ascii="仿宋" w:eastAsia="仿宋" w:hAnsi="仿宋" w:cs="仿宋" w:hint="eastAsia"/>
                <w:sz w:val="21"/>
                <w:szCs w:val="21"/>
                <w:lang w:eastAsia="zh-CN"/>
              </w:rPr>
              <w:t>A</w:t>
            </w:r>
            <w:r>
              <w:rPr>
                <w:rFonts w:ascii="仿宋" w:eastAsia="仿宋" w:hAnsi="仿宋" w:cs="仿宋" w:hint="eastAsia"/>
                <w:sz w:val="21"/>
                <w:szCs w:val="21"/>
                <w:lang w:eastAsia="zh-CN"/>
              </w:rPr>
              <w:t>类、</w:t>
            </w:r>
            <w:r>
              <w:rPr>
                <w:rFonts w:ascii="仿宋" w:eastAsia="仿宋" w:hAnsi="仿宋" w:cs="仿宋" w:hint="eastAsia"/>
                <w:sz w:val="21"/>
                <w:szCs w:val="21"/>
                <w:lang w:eastAsia="zh-CN"/>
              </w:rPr>
              <w:t>B</w:t>
            </w:r>
            <w:r>
              <w:rPr>
                <w:rFonts w:ascii="仿宋" w:eastAsia="仿宋" w:hAnsi="仿宋" w:cs="仿宋" w:hint="eastAsia"/>
                <w:sz w:val="21"/>
                <w:szCs w:val="21"/>
                <w:lang w:eastAsia="zh-CN"/>
              </w:rPr>
              <w:t>类基金份额申购、追加申购、定投、转换转入金额起点为</w:t>
            </w:r>
            <w:r>
              <w:rPr>
                <w:rFonts w:ascii="仿宋" w:eastAsia="仿宋" w:hAnsi="仿宋" w:cs="仿宋" w:hint="eastAsia"/>
                <w:sz w:val="21"/>
                <w:szCs w:val="21"/>
                <w:lang w:eastAsia="zh-CN"/>
              </w:rPr>
              <w:t>0.01</w:t>
            </w:r>
            <w:r>
              <w:rPr>
                <w:rFonts w:ascii="仿宋" w:eastAsia="仿宋" w:hAnsi="仿宋" w:cs="仿宋" w:hint="eastAsia"/>
                <w:sz w:val="21"/>
                <w:szCs w:val="21"/>
                <w:lang w:eastAsia="zh-CN"/>
              </w:rPr>
              <w:t>元，调整</w:t>
            </w:r>
            <w:r>
              <w:rPr>
                <w:rFonts w:ascii="仿宋" w:eastAsia="仿宋" w:hAnsi="仿宋" w:cs="仿宋" w:hint="eastAsia"/>
                <w:sz w:val="21"/>
                <w:szCs w:val="21"/>
                <w:lang w:eastAsia="zh-CN"/>
              </w:rPr>
              <w:t>A</w:t>
            </w:r>
            <w:r>
              <w:rPr>
                <w:rFonts w:ascii="仿宋" w:eastAsia="仿宋" w:hAnsi="仿宋" w:cs="仿宋" w:hint="eastAsia"/>
                <w:sz w:val="21"/>
                <w:szCs w:val="21"/>
                <w:lang w:eastAsia="zh-CN"/>
              </w:rPr>
              <w:t>类、</w:t>
            </w:r>
            <w:r>
              <w:rPr>
                <w:rFonts w:ascii="仿宋" w:eastAsia="仿宋" w:hAnsi="仿宋" w:cs="仿宋" w:hint="eastAsia"/>
                <w:sz w:val="21"/>
                <w:szCs w:val="21"/>
                <w:lang w:eastAsia="zh-CN"/>
              </w:rPr>
              <w:t>B</w:t>
            </w:r>
            <w:r>
              <w:rPr>
                <w:rFonts w:ascii="仿宋" w:eastAsia="仿宋" w:hAnsi="仿宋" w:cs="仿宋" w:hint="eastAsia"/>
                <w:sz w:val="21"/>
                <w:szCs w:val="21"/>
                <w:lang w:eastAsia="zh-CN"/>
              </w:rPr>
              <w:t>类基金份额赎回、基金转换转出、最低持有份额起点为</w:t>
            </w:r>
            <w:r>
              <w:rPr>
                <w:rFonts w:ascii="仿宋" w:eastAsia="仿宋" w:hAnsi="仿宋" w:cs="仿宋" w:hint="eastAsia"/>
                <w:sz w:val="21"/>
                <w:szCs w:val="21"/>
                <w:lang w:eastAsia="zh-CN"/>
              </w:rPr>
              <w:t>0.01</w:t>
            </w:r>
            <w:r>
              <w:rPr>
                <w:rFonts w:ascii="仿宋" w:eastAsia="仿宋" w:hAnsi="仿宋" w:cs="仿宋" w:hint="eastAsia"/>
                <w:sz w:val="21"/>
                <w:szCs w:val="21"/>
                <w:lang w:eastAsia="zh-CN"/>
              </w:rPr>
              <w:t>份。</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2.2023</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11</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28</w:t>
            </w:r>
            <w:r>
              <w:rPr>
                <w:rFonts w:ascii="仿宋" w:eastAsia="仿宋" w:hAnsi="仿宋" w:cs="仿宋" w:hint="eastAsia"/>
                <w:sz w:val="21"/>
                <w:szCs w:val="21"/>
                <w:lang w:eastAsia="zh-CN"/>
              </w:rPr>
              <w:t>日起，本基金管理人暂停接受对东方臻享纯债债券型证券投资基金的申购、转换转入及定期定额投资业务申请，暂停办理申购、转换转入及定期定额投资业务期间，转换转出及赎回等其他业务仍照常办理。</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3.</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2024</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11</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28</w:t>
            </w:r>
            <w:r>
              <w:rPr>
                <w:rFonts w:ascii="仿宋" w:eastAsia="仿宋" w:hAnsi="仿宋" w:cs="仿宋" w:hint="eastAsia"/>
                <w:sz w:val="21"/>
                <w:szCs w:val="21"/>
                <w:lang w:eastAsia="zh-CN"/>
              </w:rPr>
              <w:t>日</w:t>
            </w:r>
            <w:r>
              <w:rPr>
                <w:rFonts w:ascii="仿宋" w:eastAsia="仿宋" w:hAnsi="仿宋" w:cs="仿宋" w:hint="eastAsia"/>
                <w:sz w:val="21"/>
                <w:szCs w:val="21"/>
                <w:lang w:eastAsia="zh-CN"/>
              </w:rPr>
              <w:t>起，本基金管理人暂停接受对东方臻宝纯债债券型证券投资基金的单笔金额</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万元）申购（包括日常申购和定期定额申购）、转换转入申请，且单个基金账户单日累计申购（包括日常申购和定期定额申购）及转换转入金额不得超过</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万元（不含</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万元）。对于超过限额的申请，本基金管理人有权拒绝，不予确认。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4.</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3</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28</w:t>
            </w:r>
            <w:r>
              <w:rPr>
                <w:rFonts w:ascii="仿宋" w:eastAsia="仿宋" w:hAnsi="仿宋" w:cs="仿宋" w:hint="eastAsia"/>
                <w:sz w:val="21"/>
                <w:szCs w:val="21"/>
                <w:lang w:eastAsia="zh-CN"/>
              </w:rPr>
              <w:t>日起，本基金管理人暂停接受投资者对东方臻选纯债债券型证券投资基金的单笔金额</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元以上（不含</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元）申购（包括日常申购和定期定额申购）、转换转入申请，且单个基金账户单日累计申购（包括日常申</w:t>
            </w:r>
            <w:r>
              <w:rPr>
                <w:rFonts w:ascii="仿宋" w:eastAsia="仿宋" w:hAnsi="仿宋" w:cs="仿宋" w:hint="eastAsia"/>
                <w:sz w:val="21"/>
                <w:szCs w:val="21"/>
                <w:lang w:eastAsia="zh-CN"/>
              </w:rPr>
              <w:t>购和定期定额申购）及转换转入金额不得超过</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元以上（不含</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元）。对于超过限额的申请，本基金管理人有权拒绝，不予确认。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5.</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2022</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5</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25</w:t>
            </w:r>
            <w:r>
              <w:rPr>
                <w:rFonts w:ascii="仿宋" w:eastAsia="仿宋" w:hAnsi="仿宋" w:cs="仿宋" w:hint="eastAsia"/>
                <w:sz w:val="21"/>
                <w:szCs w:val="21"/>
                <w:lang w:eastAsia="zh-CN"/>
              </w:rPr>
              <w:t>日起，本基金管理人暂停接受投资者对东方臻慧纯债债券型证券投资基金的单笔金额</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元以上（含</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元）申购（包括日常申购和定期定额申购）、转换转入申请，且单个基金账户单日累计申购</w:t>
            </w:r>
            <w:r>
              <w:rPr>
                <w:rFonts w:ascii="仿宋" w:eastAsia="仿宋" w:hAnsi="仿宋" w:cs="仿宋" w:hint="eastAsia"/>
                <w:sz w:val="21"/>
                <w:szCs w:val="21"/>
                <w:lang w:eastAsia="zh-CN"/>
              </w:rPr>
              <w:lastRenderedPageBreak/>
              <w:t>（包括日常申购和定期定额申购）及转换转入金额不得超过</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元以上（含</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元）。对于超过限额的申请，本基金管理人有权拒绝，不予确认。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6.</w:t>
            </w:r>
            <w:r>
              <w:rPr>
                <w:rFonts w:ascii="仿宋" w:eastAsia="仿宋" w:hAnsi="仿宋" w:cs="仿宋" w:hint="eastAsia"/>
                <w:sz w:val="21"/>
                <w:szCs w:val="21"/>
                <w:lang w:eastAsia="zh-CN"/>
              </w:rPr>
              <w:t>东方享誉</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天滚动持有债券型证券投资基金（以下</w:t>
            </w:r>
            <w:r>
              <w:rPr>
                <w:rFonts w:ascii="仿宋" w:eastAsia="仿宋" w:hAnsi="仿宋" w:cs="仿宋" w:hint="eastAsia"/>
                <w:sz w:val="21"/>
                <w:szCs w:val="21"/>
                <w:lang w:eastAsia="zh-CN"/>
              </w:rPr>
              <w:t>简称“本基金”）对于每份基金份额，设定</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天（即第一个运作期到期日。如该日为非工作日，则顺延至下一工作日）止。第二个运作期指第一个运作期到期日的次一日起，至基金合同生效日或基金份额申购申请日后的第</w:t>
            </w:r>
            <w:r>
              <w:rPr>
                <w:rFonts w:ascii="仿宋" w:eastAsia="仿宋" w:hAnsi="仿宋" w:cs="仿宋" w:hint="eastAsia"/>
                <w:sz w:val="21"/>
                <w:szCs w:val="21"/>
                <w:lang w:eastAsia="zh-CN"/>
              </w:rPr>
              <w:t>60</w:t>
            </w:r>
            <w:r>
              <w:rPr>
                <w:rFonts w:ascii="仿宋" w:eastAsia="仿宋" w:hAnsi="仿宋" w:cs="仿宋" w:hint="eastAsia"/>
                <w:sz w:val="21"/>
                <w:szCs w:val="21"/>
                <w:lang w:eastAsia="zh-CN"/>
              </w:rPr>
              <w:t>天（如该日为非工作日，则顺延至下一工作日）止。以此类推。</w:t>
            </w:r>
            <w:r>
              <w:rPr>
                <w:rFonts w:ascii="仿宋" w:eastAsia="仿宋" w:hAnsi="仿宋" w:cs="仿宋" w:hint="eastAsia"/>
                <w:sz w:val="21"/>
                <w:szCs w:val="21"/>
                <w:lang w:eastAsia="zh-CN"/>
              </w:rPr>
              <w:t>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w:t>
            </w:r>
            <w:r>
              <w:rPr>
                <w:rFonts w:ascii="仿宋" w:eastAsia="仿宋" w:hAnsi="仿宋" w:cs="仿宋" w:hint="eastAsia"/>
                <w:sz w:val="21"/>
                <w:szCs w:val="21"/>
                <w:lang w:eastAsia="zh-CN"/>
              </w:rPr>
              <w:t>将另行公告。本基金单一投资者单日认购金额不超过</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万元（个人投资者、公募资产管理产品、职业年金、企业年金计划和基金管理人自有资金除外），基金管理人在履行适当程序后，可以调整单一投资者单日认购金额上限，具体规定请参见更新的招募说明书或相关公告。</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7.</w:t>
            </w:r>
            <w:r>
              <w:rPr>
                <w:rFonts w:ascii="仿宋" w:eastAsia="仿宋" w:hAnsi="仿宋" w:cs="仿宋" w:hint="eastAsia"/>
                <w:sz w:val="21"/>
                <w:szCs w:val="21"/>
                <w:lang w:eastAsia="zh-CN"/>
              </w:rPr>
              <w:t>东方享悦</w:t>
            </w:r>
            <w:r>
              <w:rPr>
                <w:rFonts w:ascii="仿宋" w:eastAsia="仿宋" w:hAnsi="仿宋" w:cs="仿宋" w:hint="eastAsia"/>
                <w:sz w:val="21"/>
                <w:szCs w:val="21"/>
                <w:lang w:eastAsia="zh-CN"/>
              </w:rPr>
              <w:t>90</w:t>
            </w:r>
            <w:r>
              <w:rPr>
                <w:rFonts w:ascii="仿宋" w:eastAsia="仿宋" w:hAnsi="仿宋" w:cs="仿宋" w:hint="eastAsia"/>
                <w:sz w:val="21"/>
                <w:szCs w:val="21"/>
                <w:lang w:eastAsia="zh-CN"/>
              </w:rPr>
              <w:t>天滚动持有债券型证券投资基金对于每份基金份额，设定</w:t>
            </w:r>
            <w:r>
              <w:rPr>
                <w:rFonts w:ascii="仿宋" w:eastAsia="仿宋" w:hAnsi="仿宋" w:cs="仿宋" w:hint="eastAsia"/>
                <w:sz w:val="21"/>
                <w:szCs w:val="21"/>
                <w:lang w:eastAsia="zh-CN"/>
              </w:rPr>
              <w:t>90</w:t>
            </w:r>
            <w:r>
              <w:rPr>
                <w:rFonts w:ascii="仿宋" w:eastAsia="仿宋" w:hAnsi="仿宋" w:cs="仿宋" w:hint="eastAsia"/>
                <w:sz w:val="21"/>
                <w:szCs w:val="21"/>
                <w:lang w:eastAsia="zh-CN"/>
              </w:rPr>
              <w:t>天的滚动运作期。每个运作期到期日前，基金份额持有人不能提出赎回申请。对于每份基金份额，第一个运作期指基金合同生效日（对认购份额而言，下同）或基金份额申购确认日（对申购份额而言，下同）起（即第一个</w:t>
            </w:r>
            <w:r>
              <w:rPr>
                <w:rFonts w:ascii="仿宋" w:eastAsia="仿宋" w:hAnsi="仿宋" w:cs="仿宋" w:hint="eastAsia"/>
                <w:sz w:val="21"/>
                <w:szCs w:val="21"/>
                <w:lang w:eastAsia="zh-CN"/>
              </w:rPr>
              <w:t>运作期起始日），至基金合同生效日或基金份额申购申请日后的第</w:t>
            </w:r>
            <w:r>
              <w:rPr>
                <w:rFonts w:ascii="仿宋" w:eastAsia="仿宋" w:hAnsi="仿宋" w:cs="仿宋" w:hint="eastAsia"/>
                <w:sz w:val="21"/>
                <w:szCs w:val="21"/>
                <w:lang w:eastAsia="zh-CN"/>
              </w:rPr>
              <w:t>90</w:t>
            </w:r>
            <w:r>
              <w:rPr>
                <w:rFonts w:ascii="仿宋" w:eastAsia="仿宋" w:hAnsi="仿宋" w:cs="仿宋" w:hint="eastAsia"/>
                <w:sz w:val="21"/>
                <w:szCs w:val="21"/>
                <w:lang w:eastAsia="zh-CN"/>
              </w:rPr>
              <w:t>天（即第一个运作期到期日。如该日为非工作日，则顺延至下一工作日）止。第二个运作期指第一个运作期到期日的次一日起，至基金合同生效日或基金份额申购申请日后的第</w:t>
            </w:r>
            <w:r>
              <w:rPr>
                <w:rFonts w:ascii="仿宋" w:eastAsia="仿宋" w:hAnsi="仿宋" w:cs="仿宋" w:hint="eastAsia"/>
                <w:sz w:val="21"/>
                <w:szCs w:val="21"/>
                <w:lang w:eastAsia="zh-CN"/>
              </w:rPr>
              <w:t>180</w:t>
            </w:r>
            <w:r>
              <w:rPr>
                <w:rFonts w:ascii="仿宋" w:eastAsia="仿宋" w:hAnsi="仿宋" w:cs="仿宋" w:hint="eastAsia"/>
                <w:sz w:val="21"/>
                <w:szCs w:val="21"/>
                <w:lang w:eastAsia="zh-CN"/>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w:t>
            </w:r>
            <w:r>
              <w:rPr>
                <w:rFonts w:ascii="仿宋" w:eastAsia="仿宋" w:hAnsi="仿宋" w:cs="仿宋" w:hint="eastAsia"/>
                <w:sz w:val="21"/>
                <w:szCs w:val="21"/>
                <w:lang w:eastAsia="zh-CN"/>
              </w:rPr>
              <w:t>、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申购金额不超过</w:t>
            </w:r>
            <w:r>
              <w:rPr>
                <w:rFonts w:ascii="仿宋" w:eastAsia="仿宋" w:hAnsi="仿宋" w:cs="仿宋" w:hint="eastAsia"/>
                <w:sz w:val="21"/>
                <w:szCs w:val="21"/>
                <w:lang w:eastAsia="zh-CN"/>
              </w:rPr>
              <w:t>1000</w:t>
            </w:r>
            <w:r>
              <w:rPr>
                <w:rFonts w:ascii="仿宋" w:eastAsia="仿宋" w:hAnsi="仿宋" w:cs="仿宋" w:hint="eastAsia"/>
                <w:sz w:val="21"/>
                <w:szCs w:val="21"/>
                <w:lang w:eastAsia="zh-CN"/>
              </w:rPr>
              <w:t>万元（个人投资者、公募资产管理产品、职业年金、企业年金计划和基金管理人自有资金除外），基金管理人可以调整单一投资者单日申购金额上限，具体规定请参见更新的招募说明书或相关公告。</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8.</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2024</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20</w:t>
            </w:r>
            <w:r>
              <w:rPr>
                <w:rFonts w:ascii="仿宋" w:eastAsia="仿宋" w:hAnsi="仿宋" w:cs="仿宋" w:hint="eastAsia"/>
                <w:sz w:val="21"/>
                <w:szCs w:val="21"/>
                <w:lang w:eastAsia="zh-CN"/>
              </w:rPr>
              <w:t>日起，本基金管理人暂停接受对东方兴润债券型证券投资基金的申购、转换转入及定期定额投资业务申请，暂停办理申购、转换转入及定期定额投资业务期间，转换转出及赎回等其他业务仍照常办理。</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9.</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2022</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12</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12</w:t>
            </w:r>
            <w:r>
              <w:rPr>
                <w:rFonts w:ascii="仿宋" w:eastAsia="仿宋" w:hAnsi="仿宋" w:cs="仿宋" w:hint="eastAsia"/>
                <w:sz w:val="21"/>
                <w:szCs w:val="21"/>
                <w:lang w:eastAsia="zh-CN"/>
              </w:rPr>
              <w:t>日起，本基金管理人暂停接受对东方臻善纯债债券型证券投资基金的单笔金额</w:t>
            </w:r>
            <w:r>
              <w:rPr>
                <w:rFonts w:ascii="仿宋" w:eastAsia="仿宋" w:hAnsi="仿宋" w:cs="仿宋" w:hint="eastAsia"/>
                <w:sz w:val="21"/>
                <w:szCs w:val="21"/>
                <w:lang w:eastAsia="zh-CN"/>
              </w:rPr>
              <w:t>1</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1</w:t>
            </w:r>
            <w:r>
              <w:rPr>
                <w:rFonts w:ascii="仿宋" w:eastAsia="仿宋" w:hAnsi="仿宋" w:cs="仿宋" w:hint="eastAsia"/>
                <w:sz w:val="21"/>
                <w:szCs w:val="21"/>
                <w:lang w:eastAsia="zh-CN"/>
              </w:rPr>
              <w:t>万元）申购（包括日常申购和定期定额申购）、转换转入申请，且单个基金账户单日累计申购（包括日常申购和定期定额申购）及转换转入金额不得超过</w:t>
            </w:r>
            <w:r>
              <w:rPr>
                <w:rFonts w:ascii="仿宋" w:eastAsia="仿宋" w:hAnsi="仿宋" w:cs="仿宋" w:hint="eastAsia"/>
                <w:sz w:val="21"/>
                <w:szCs w:val="21"/>
                <w:lang w:eastAsia="zh-CN"/>
              </w:rPr>
              <w:t>1</w:t>
            </w:r>
            <w:r>
              <w:rPr>
                <w:rFonts w:ascii="仿宋" w:eastAsia="仿宋" w:hAnsi="仿宋" w:cs="仿宋" w:hint="eastAsia"/>
                <w:sz w:val="21"/>
                <w:szCs w:val="21"/>
                <w:lang w:eastAsia="zh-CN"/>
              </w:rPr>
              <w:t>万元（不含</w:t>
            </w:r>
            <w:r>
              <w:rPr>
                <w:rFonts w:ascii="仿宋" w:eastAsia="仿宋" w:hAnsi="仿宋" w:cs="仿宋" w:hint="eastAsia"/>
                <w:sz w:val="21"/>
                <w:szCs w:val="21"/>
                <w:lang w:eastAsia="zh-CN"/>
              </w:rPr>
              <w:t>1</w:t>
            </w:r>
            <w:r>
              <w:rPr>
                <w:rFonts w:ascii="仿宋" w:eastAsia="仿宋" w:hAnsi="仿宋" w:cs="仿宋" w:hint="eastAsia"/>
                <w:sz w:val="21"/>
                <w:szCs w:val="21"/>
                <w:lang w:eastAsia="zh-CN"/>
              </w:rPr>
              <w:t>万元）。对于超过限额的申请，本基金管理人有权拒绝，</w:t>
            </w:r>
            <w:r>
              <w:rPr>
                <w:rFonts w:ascii="仿宋" w:eastAsia="仿宋" w:hAnsi="仿宋" w:cs="仿宋" w:hint="eastAsia"/>
                <w:sz w:val="21"/>
                <w:szCs w:val="21"/>
                <w:lang w:eastAsia="zh-CN"/>
              </w:rPr>
              <w:t>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10.</w:t>
            </w:r>
            <w:r>
              <w:rPr>
                <w:rFonts w:ascii="仿宋" w:eastAsia="仿宋" w:hAnsi="仿宋" w:cs="仿宋" w:hint="eastAsia"/>
                <w:sz w:val="21"/>
                <w:szCs w:val="21"/>
                <w:lang w:eastAsia="zh-CN"/>
              </w:rPr>
              <w:t>东方中债绿色普惠主题金融债券优选指数证券投资基金暂不向个人投资者公开销售，如未来本基金开放向个人投资者公开销售或对销售对象的范围予以进一步限定，基金管理人将另行公告。</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11.</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2023</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12</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19</w:t>
            </w:r>
            <w:r>
              <w:rPr>
                <w:rFonts w:ascii="仿宋" w:eastAsia="仿宋" w:hAnsi="仿宋" w:cs="仿宋" w:hint="eastAsia"/>
                <w:sz w:val="21"/>
                <w:szCs w:val="21"/>
                <w:lang w:eastAsia="zh-CN"/>
              </w:rPr>
              <w:t>日起，本基金管理人暂停接受对东方稳健回报债券型证券投资基金的单笔金额</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元以上（含</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元）申购（包括日常申购和定期定额申购）、转换转入申请，且单个基金账户单日累计申购（包括日常申购和定期定额申购）及转换转入金额不得超过</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元（含</w:t>
            </w:r>
            <w:r>
              <w:rPr>
                <w:rFonts w:ascii="仿宋" w:eastAsia="仿宋" w:hAnsi="仿宋" w:cs="仿宋" w:hint="eastAsia"/>
                <w:sz w:val="21"/>
                <w:szCs w:val="21"/>
                <w:lang w:eastAsia="zh-CN"/>
              </w:rPr>
              <w:t>100</w:t>
            </w:r>
            <w:r>
              <w:rPr>
                <w:rFonts w:ascii="仿宋" w:eastAsia="仿宋" w:hAnsi="仿宋" w:cs="仿宋" w:hint="eastAsia"/>
                <w:sz w:val="21"/>
                <w:szCs w:val="21"/>
                <w:lang w:eastAsia="zh-CN"/>
              </w:rPr>
              <w:t>元）。对于超过限额的申请，本基金管理人有权拒绝，不予确认。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12.</w:t>
            </w:r>
            <w:r>
              <w:rPr>
                <w:rFonts w:ascii="仿宋" w:eastAsia="仿宋" w:hAnsi="仿宋" w:cs="仿宋" w:hint="eastAsia"/>
                <w:sz w:val="21"/>
                <w:szCs w:val="21"/>
                <w:lang w:eastAsia="zh-CN"/>
              </w:rPr>
              <w:t>自</w:t>
            </w:r>
            <w:r>
              <w:rPr>
                <w:rFonts w:ascii="仿宋" w:eastAsia="仿宋" w:hAnsi="仿宋" w:cs="仿宋" w:hint="eastAsia"/>
                <w:sz w:val="21"/>
                <w:szCs w:val="21"/>
                <w:lang w:eastAsia="zh-CN"/>
              </w:rPr>
              <w:t>202</w:t>
            </w:r>
            <w:r>
              <w:rPr>
                <w:rFonts w:ascii="仿宋" w:eastAsia="仿宋" w:hAnsi="仿宋" w:cs="仿宋" w:hint="eastAsia"/>
                <w:sz w:val="21"/>
                <w:szCs w:val="21"/>
                <w:lang w:eastAsia="zh-CN"/>
              </w:rPr>
              <w:t>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3</w:t>
            </w:r>
            <w:r>
              <w:rPr>
                <w:rFonts w:ascii="仿宋" w:eastAsia="仿宋" w:hAnsi="仿宋" w:cs="仿宋" w:hint="eastAsia"/>
                <w:sz w:val="21"/>
                <w:szCs w:val="21"/>
                <w:lang w:eastAsia="zh-CN"/>
              </w:rPr>
              <w:t>日起，本基金管理人暂停接受投资者对东方金证通货币市场基金的单笔金额</w:t>
            </w:r>
            <w:r>
              <w:rPr>
                <w:rFonts w:ascii="仿宋" w:eastAsia="仿宋" w:hAnsi="仿宋" w:cs="仿宋" w:hint="eastAsia"/>
                <w:sz w:val="21"/>
                <w:szCs w:val="21"/>
                <w:lang w:eastAsia="zh-CN"/>
              </w:rPr>
              <w:t>1</w:t>
            </w:r>
            <w:r>
              <w:rPr>
                <w:rFonts w:ascii="仿宋" w:eastAsia="仿宋" w:hAnsi="仿宋" w:cs="仿宋" w:hint="eastAsia"/>
                <w:sz w:val="21"/>
                <w:szCs w:val="21"/>
                <w:lang w:eastAsia="zh-CN"/>
              </w:rPr>
              <w:t>000</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1</w:t>
            </w:r>
            <w:r>
              <w:rPr>
                <w:rFonts w:ascii="仿宋" w:eastAsia="仿宋" w:hAnsi="仿宋" w:cs="仿宋" w:hint="eastAsia"/>
                <w:sz w:val="21"/>
                <w:szCs w:val="21"/>
                <w:lang w:eastAsia="zh-CN"/>
              </w:rPr>
              <w:t>000</w:t>
            </w:r>
            <w:r>
              <w:rPr>
                <w:rFonts w:ascii="仿宋" w:eastAsia="仿宋" w:hAnsi="仿宋" w:cs="仿宋" w:hint="eastAsia"/>
                <w:sz w:val="21"/>
                <w:szCs w:val="21"/>
                <w:lang w:eastAsia="zh-CN"/>
              </w:rPr>
              <w:t>万元）申购（包括日常申购和定期定额申购）、转换转入申请，且单个基金账户单日累计申购（包括日常申购和定期定额申购）及转换转入金额不得超过</w:t>
            </w:r>
            <w:r>
              <w:rPr>
                <w:rFonts w:ascii="仿宋" w:eastAsia="仿宋" w:hAnsi="仿宋" w:cs="仿宋" w:hint="eastAsia"/>
                <w:sz w:val="21"/>
                <w:szCs w:val="21"/>
                <w:lang w:eastAsia="zh-CN"/>
              </w:rPr>
              <w:t>1</w:t>
            </w:r>
            <w:r>
              <w:rPr>
                <w:rFonts w:ascii="仿宋" w:eastAsia="仿宋" w:hAnsi="仿宋" w:cs="仿宋" w:hint="eastAsia"/>
                <w:sz w:val="21"/>
                <w:szCs w:val="21"/>
                <w:lang w:eastAsia="zh-CN"/>
              </w:rPr>
              <w:t>000</w:t>
            </w:r>
            <w:r>
              <w:rPr>
                <w:rFonts w:ascii="仿宋" w:eastAsia="仿宋" w:hAnsi="仿宋" w:cs="仿宋" w:hint="eastAsia"/>
                <w:sz w:val="21"/>
                <w:szCs w:val="21"/>
                <w:lang w:eastAsia="zh-CN"/>
              </w:rPr>
              <w:t>万元以上（不含</w:t>
            </w:r>
            <w:r>
              <w:rPr>
                <w:rFonts w:ascii="仿宋" w:eastAsia="仿宋" w:hAnsi="仿宋" w:cs="仿宋" w:hint="eastAsia"/>
                <w:sz w:val="21"/>
                <w:szCs w:val="21"/>
                <w:lang w:eastAsia="zh-CN"/>
              </w:rPr>
              <w:t>1</w:t>
            </w:r>
            <w:r>
              <w:rPr>
                <w:rFonts w:ascii="仿宋" w:eastAsia="仿宋" w:hAnsi="仿宋" w:cs="仿宋" w:hint="eastAsia"/>
                <w:sz w:val="21"/>
                <w:szCs w:val="21"/>
                <w:lang w:eastAsia="zh-CN"/>
              </w:rPr>
              <w:t>000</w:t>
            </w:r>
            <w:r>
              <w:rPr>
                <w:rFonts w:ascii="仿宋" w:eastAsia="仿宋" w:hAnsi="仿宋" w:cs="仿宋" w:hint="eastAsia"/>
                <w:sz w:val="21"/>
                <w:szCs w:val="21"/>
                <w:lang w:eastAsia="zh-CN"/>
              </w:rPr>
              <w:t>万元）。对于超过限额的申请，本基金管理人有权拒绝，不予确认。</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13.</w:t>
            </w:r>
            <w:r>
              <w:rPr>
                <w:rFonts w:ascii="仿宋" w:eastAsia="仿宋" w:hAnsi="仿宋" w:cs="仿宋" w:hint="eastAsia"/>
                <w:sz w:val="21"/>
                <w:szCs w:val="21"/>
                <w:lang w:eastAsia="zh-CN"/>
              </w:rPr>
              <w:t>根据</w:t>
            </w:r>
            <w:r>
              <w:rPr>
                <w:rFonts w:ascii="仿宋" w:eastAsia="仿宋" w:hAnsi="仿宋" w:cs="仿宋" w:hint="eastAsia"/>
                <w:sz w:val="21"/>
                <w:szCs w:val="21"/>
                <w:lang w:eastAsia="zh-CN"/>
              </w:rPr>
              <w:t xml:space="preserve"> 2019 </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 xml:space="preserve"> 2 </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 xml:space="preserve"> 22 </w:t>
            </w:r>
            <w:r>
              <w:rPr>
                <w:rFonts w:ascii="仿宋" w:eastAsia="仿宋" w:hAnsi="仿宋" w:cs="仿宋" w:hint="eastAsia"/>
                <w:sz w:val="21"/>
                <w:szCs w:val="21"/>
                <w:lang w:eastAsia="zh-CN"/>
              </w:rPr>
              <w:t>日披露的《东方金证通货币市场基金暂停转换业务及定期定额投资业</w:t>
            </w:r>
            <w:r>
              <w:rPr>
                <w:rFonts w:ascii="仿宋" w:eastAsia="仿宋" w:hAnsi="仿宋" w:cs="仿宋" w:hint="eastAsia"/>
                <w:sz w:val="21"/>
                <w:szCs w:val="21"/>
                <w:lang w:eastAsia="zh-CN"/>
              </w:rPr>
              <w:t xml:space="preserve"> </w:t>
            </w:r>
            <w:r>
              <w:rPr>
                <w:rFonts w:ascii="仿宋" w:eastAsia="仿宋" w:hAnsi="仿宋" w:cs="仿宋" w:hint="eastAsia"/>
                <w:sz w:val="21"/>
                <w:szCs w:val="21"/>
                <w:lang w:eastAsia="zh-CN"/>
              </w:rPr>
              <w:t>务公告》，东方金证通货币市场基金</w:t>
            </w:r>
            <w:r>
              <w:rPr>
                <w:rFonts w:ascii="仿宋" w:eastAsia="仿宋" w:hAnsi="仿宋" w:cs="仿宋" w:hint="eastAsia"/>
                <w:sz w:val="21"/>
                <w:szCs w:val="21"/>
                <w:lang w:eastAsia="zh-CN"/>
              </w:rPr>
              <w:t xml:space="preserve"> A </w:t>
            </w:r>
            <w:r>
              <w:rPr>
                <w:rFonts w:ascii="仿宋" w:eastAsia="仿宋" w:hAnsi="仿宋" w:cs="仿宋" w:hint="eastAsia"/>
                <w:sz w:val="21"/>
                <w:szCs w:val="21"/>
                <w:lang w:eastAsia="zh-CN"/>
              </w:rPr>
              <w:t>类份额（基金代码：</w:t>
            </w:r>
            <w:r>
              <w:rPr>
                <w:rFonts w:ascii="仿宋" w:eastAsia="仿宋" w:hAnsi="仿宋" w:cs="仿宋" w:hint="eastAsia"/>
                <w:sz w:val="21"/>
                <w:szCs w:val="21"/>
                <w:lang w:eastAsia="zh-CN"/>
              </w:rPr>
              <w:t>002</w:t>
            </w:r>
            <w:r>
              <w:rPr>
                <w:rFonts w:ascii="仿宋" w:eastAsia="仿宋" w:hAnsi="仿宋" w:cs="仿宋" w:hint="eastAsia"/>
                <w:sz w:val="21"/>
                <w:szCs w:val="21"/>
                <w:lang w:eastAsia="zh-CN"/>
              </w:rPr>
              <w:t>243</w:t>
            </w:r>
            <w:r>
              <w:rPr>
                <w:rFonts w:ascii="仿宋" w:eastAsia="仿宋" w:hAnsi="仿宋" w:cs="仿宋" w:hint="eastAsia"/>
                <w:sz w:val="21"/>
                <w:szCs w:val="21"/>
                <w:lang w:eastAsia="zh-CN"/>
              </w:rPr>
              <w:t>）暂停转换业务及定期定额投资业务。恢复办理东方金证通货币</w:t>
            </w:r>
            <w:r>
              <w:rPr>
                <w:rFonts w:ascii="仿宋" w:eastAsia="仿宋" w:hAnsi="仿宋" w:cs="仿宋" w:hint="eastAsia"/>
                <w:sz w:val="21"/>
                <w:szCs w:val="21"/>
                <w:lang w:eastAsia="zh-CN"/>
              </w:rPr>
              <w:t xml:space="preserve"> A </w:t>
            </w:r>
            <w:r>
              <w:rPr>
                <w:rFonts w:ascii="仿宋" w:eastAsia="仿宋" w:hAnsi="仿宋" w:cs="仿宋" w:hint="eastAsia"/>
                <w:sz w:val="21"/>
                <w:szCs w:val="21"/>
                <w:lang w:eastAsia="zh-CN"/>
              </w:rPr>
              <w:t>的转换业务及定期定额投资业务的日期，本基金管理人将另行</w:t>
            </w:r>
            <w:r>
              <w:rPr>
                <w:rFonts w:ascii="仿宋" w:eastAsia="仿宋" w:hAnsi="仿宋" w:cs="仿宋" w:hint="eastAsia"/>
                <w:sz w:val="21"/>
                <w:szCs w:val="21"/>
                <w:lang w:eastAsia="zh-CN"/>
              </w:rPr>
              <w:t xml:space="preserve"> </w:t>
            </w:r>
            <w:r>
              <w:rPr>
                <w:rFonts w:ascii="仿宋" w:eastAsia="仿宋" w:hAnsi="仿宋" w:cs="仿宋" w:hint="eastAsia"/>
                <w:sz w:val="21"/>
                <w:szCs w:val="21"/>
                <w:lang w:eastAsia="zh-CN"/>
              </w:rPr>
              <w:t>公告。</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14.</w:t>
            </w:r>
            <w:r>
              <w:rPr>
                <w:rFonts w:ascii="仿宋" w:eastAsia="仿宋" w:hAnsi="仿宋" w:cs="仿宋" w:hint="eastAsia"/>
                <w:sz w:val="21"/>
                <w:szCs w:val="21"/>
                <w:lang w:eastAsia="zh-CN"/>
              </w:rPr>
              <w:t>东方永泰纯债</w:t>
            </w:r>
            <w:r>
              <w:rPr>
                <w:rFonts w:ascii="仿宋" w:eastAsia="仿宋" w:hAnsi="仿宋" w:cs="仿宋" w:hint="eastAsia"/>
                <w:sz w:val="21"/>
                <w:szCs w:val="21"/>
                <w:lang w:eastAsia="zh-CN"/>
              </w:rPr>
              <w:t>1</w:t>
            </w:r>
            <w:r>
              <w:rPr>
                <w:rFonts w:ascii="仿宋" w:eastAsia="仿宋" w:hAnsi="仿宋" w:cs="仿宋" w:hint="eastAsia"/>
                <w:sz w:val="21"/>
                <w:szCs w:val="21"/>
                <w:lang w:eastAsia="zh-CN"/>
              </w:rPr>
              <w:t>年定期开放债券型证券投资基金尚在封闭期内，待封闭期结束，本公司会及时发布相关开放公告，敬请留意。具体业务办理流程、规则请遵循相关销售机构的规定。</w:t>
            </w:r>
          </w:p>
          <w:p w:rsidR="00421A2B" w:rsidRDefault="001E0D5F">
            <w:pPr>
              <w:rPr>
                <w:rFonts w:ascii="仿宋" w:eastAsia="仿宋" w:hAnsi="仿宋" w:cs="仿宋"/>
                <w:sz w:val="21"/>
                <w:szCs w:val="21"/>
                <w:lang w:eastAsia="zh-CN"/>
              </w:rPr>
            </w:pPr>
            <w:r>
              <w:rPr>
                <w:rFonts w:ascii="仿宋" w:eastAsia="仿宋" w:hAnsi="仿宋" w:cs="仿宋" w:hint="eastAsia"/>
                <w:sz w:val="21"/>
                <w:szCs w:val="21"/>
                <w:lang w:eastAsia="zh-CN"/>
              </w:rPr>
              <w:t>15.</w:t>
            </w:r>
            <w:r>
              <w:rPr>
                <w:rFonts w:ascii="仿宋" w:eastAsia="仿宋" w:hAnsi="仿宋" w:cs="仿宋" w:hint="eastAsia"/>
                <w:sz w:val="21"/>
                <w:szCs w:val="21"/>
                <w:lang w:eastAsia="zh-CN"/>
              </w:rPr>
              <w:t>根据东方臻萃</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个月定期开放纯债债券型证券投资基金（以下简称“本基金”）《基金合同》《招募说明书》的规定，本基金的每个封闭期为</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个月，即自基金合同生效日（含该日）或自每一开放期结束之日次日（含该日）起至三个月后</w:t>
            </w:r>
            <w:r>
              <w:rPr>
                <w:rFonts w:ascii="仿宋" w:eastAsia="仿宋" w:hAnsi="仿宋" w:cs="仿宋" w:hint="eastAsia"/>
                <w:sz w:val="21"/>
                <w:szCs w:val="21"/>
                <w:lang w:eastAsia="zh-CN"/>
              </w:rPr>
              <w:t>对应日（如该对应日不存在或为非工作日，则顺延至下一工作日）前一日止的期间。本基金自每个封闭期结束后进入开放期，开放期时长原则上为</w:t>
            </w:r>
            <w:r>
              <w:rPr>
                <w:rFonts w:ascii="仿宋" w:eastAsia="仿宋" w:hAnsi="仿宋" w:cs="仿宋" w:hint="eastAsia"/>
                <w:sz w:val="21"/>
                <w:szCs w:val="21"/>
                <w:lang w:eastAsia="zh-CN"/>
              </w:rPr>
              <w:t>5</w:t>
            </w:r>
            <w:r>
              <w:rPr>
                <w:rFonts w:ascii="仿宋" w:eastAsia="仿宋" w:hAnsi="仿宋" w:cs="仿宋" w:hint="eastAsia"/>
                <w:sz w:val="21"/>
                <w:szCs w:val="21"/>
                <w:lang w:eastAsia="zh-CN"/>
              </w:rPr>
              <w:t>至</w:t>
            </w:r>
            <w:r>
              <w:rPr>
                <w:rFonts w:ascii="仿宋" w:eastAsia="仿宋" w:hAnsi="仿宋" w:cs="仿宋" w:hint="eastAsia"/>
                <w:sz w:val="21"/>
                <w:szCs w:val="21"/>
                <w:lang w:eastAsia="zh-CN"/>
              </w:rPr>
              <w:t>20</w:t>
            </w:r>
            <w:r>
              <w:rPr>
                <w:rFonts w:ascii="仿宋" w:eastAsia="仿宋" w:hAnsi="仿宋" w:cs="仿宋" w:hint="eastAsia"/>
                <w:sz w:val="21"/>
                <w:szCs w:val="21"/>
                <w:lang w:eastAsia="zh-CN"/>
              </w:rPr>
              <w:t>个工作日。根据本公司于</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5</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日披露的《东方臻萃</w:t>
            </w:r>
            <w:r>
              <w:rPr>
                <w:rFonts w:ascii="仿宋" w:eastAsia="仿宋" w:hAnsi="仿宋" w:cs="仿宋" w:hint="eastAsia"/>
                <w:sz w:val="21"/>
                <w:szCs w:val="21"/>
                <w:lang w:eastAsia="zh-CN"/>
              </w:rPr>
              <w:t>3</w:t>
            </w:r>
            <w:r>
              <w:rPr>
                <w:rFonts w:ascii="仿宋" w:eastAsia="仿宋" w:hAnsi="仿宋" w:cs="仿宋" w:hint="eastAsia"/>
                <w:sz w:val="21"/>
                <w:szCs w:val="21"/>
                <w:lang w:eastAsia="zh-CN"/>
              </w:rPr>
              <w:t>个月定期开放纯债债券型证券投资基金开放日常申购（</w:t>
            </w:r>
            <w:r>
              <w:rPr>
                <w:rFonts w:ascii="仿宋" w:eastAsia="仿宋" w:hAnsi="仿宋" w:cs="仿宋" w:hint="eastAsia"/>
                <w:sz w:val="21"/>
                <w:szCs w:val="21"/>
                <w:lang w:eastAsia="zh-CN"/>
              </w:rPr>
              <w:t>赎回</w:t>
            </w:r>
            <w:r>
              <w:rPr>
                <w:rFonts w:ascii="仿宋" w:eastAsia="仿宋" w:hAnsi="仿宋" w:cs="仿宋" w:hint="eastAsia"/>
                <w:sz w:val="21"/>
                <w:szCs w:val="21"/>
                <w:lang w:eastAsia="zh-CN"/>
              </w:rPr>
              <w:t>、转换）业务公告》，本基金</w:t>
            </w:r>
            <w:r>
              <w:rPr>
                <w:rFonts w:ascii="仿宋" w:eastAsia="仿宋" w:hAnsi="仿宋" w:cs="仿宋" w:hint="eastAsia"/>
                <w:sz w:val="21"/>
                <w:szCs w:val="21"/>
                <w:lang w:eastAsia="zh-CN"/>
              </w:rPr>
              <w:t>A</w:t>
            </w:r>
            <w:r>
              <w:rPr>
                <w:rFonts w:ascii="仿宋" w:eastAsia="仿宋" w:hAnsi="仿宋" w:cs="仿宋" w:hint="eastAsia"/>
                <w:sz w:val="21"/>
                <w:szCs w:val="21"/>
                <w:lang w:eastAsia="zh-CN"/>
              </w:rPr>
              <w:t>类、</w:t>
            </w:r>
            <w:r>
              <w:rPr>
                <w:rFonts w:ascii="仿宋" w:eastAsia="仿宋" w:hAnsi="仿宋" w:cs="仿宋" w:hint="eastAsia"/>
                <w:sz w:val="21"/>
                <w:szCs w:val="21"/>
                <w:lang w:eastAsia="zh-CN"/>
              </w:rPr>
              <w:t>C</w:t>
            </w:r>
            <w:r>
              <w:rPr>
                <w:rFonts w:ascii="仿宋" w:eastAsia="仿宋" w:hAnsi="仿宋" w:cs="仿宋" w:hint="eastAsia"/>
                <w:sz w:val="21"/>
                <w:szCs w:val="21"/>
                <w:lang w:eastAsia="zh-CN"/>
              </w:rPr>
              <w:t>类基金份额于</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3</w:t>
            </w:r>
            <w:r>
              <w:rPr>
                <w:rFonts w:ascii="仿宋" w:eastAsia="仿宋" w:hAnsi="仿宋" w:cs="仿宋" w:hint="eastAsia"/>
                <w:sz w:val="21"/>
                <w:szCs w:val="21"/>
                <w:lang w:eastAsia="zh-CN"/>
              </w:rPr>
              <w:t>日至</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日开放申购、</w:t>
            </w:r>
            <w:r>
              <w:rPr>
                <w:rFonts w:ascii="仿宋" w:eastAsia="仿宋" w:hAnsi="仿宋" w:cs="仿宋" w:hint="eastAsia"/>
                <w:sz w:val="21"/>
                <w:szCs w:val="21"/>
                <w:lang w:eastAsia="zh-CN"/>
              </w:rPr>
              <w:t>赎</w:t>
            </w:r>
            <w:r>
              <w:rPr>
                <w:rFonts w:ascii="仿宋" w:eastAsia="仿宋" w:hAnsi="仿宋" w:cs="仿宋" w:hint="eastAsia"/>
                <w:sz w:val="21"/>
                <w:szCs w:val="21"/>
                <w:lang w:eastAsia="zh-CN"/>
              </w:rPr>
              <w:t>回、转换业务。本基金于</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4</w:t>
            </w:r>
            <w:r>
              <w:rPr>
                <w:rFonts w:ascii="仿宋" w:eastAsia="仿宋" w:hAnsi="仿宋" w:cs="仿宋" w:hint="eastAsia"/>
                <w:sz w:val="21"/>
                <w:szCs w:val="21"/>
                <w:lang w:eastAsia="zh-CN"/>
              </w:rPr>
              <w:t>日起新增</w:t>
            </w:r>
            <w:r>
              <w:rPr>
                <w:rFonts w:ascii="仿宋" w:eastAsia="仿宋" w:hAnsi="仿宋" w:cs="仿宋" w:hint="eastAsia"/>
                <w:sz w:val="21"/>
                <w:szCs w:val="21"/>
                <w:lang w:eastAsia="zh-CN"/>
              </w:rPr>
              <w:t>D</w:t>
            </w:r>
            <w:r>
              <w:rPr>
                <w:rFonts w:ascii="仿宋" w:eastAsia="仿宋" w:hAnsi="仿宋" w:cs="仿宋" w:hint="eastAsia"/>
                <w:sz w:val="21"/>
                <w:szCs w:val="21"/>
                <w:lang w:eastAsia="zh-CN"/>
              </w:rPr>
              <w:t>类基金份额，因此本基金</w:t>
            </w:r>
            <w:r>
              <w:rPr>
                <w:rFonts w:ascii="仿宋" w:eastAsia="仿宋" w:hAnsi="仿宋" w:cs="仿宋" w:hint="eastAsia"/>
                <w:sz w:val="21"/>
                <w:szCs w:val="21"/>
                <w:lang w:eastAsia="zh-CN"/>
              </w:rPr>
              <w:t>D</w:t>
            </w:r>
            <w:r>
              <w:rPr>
                <w:rFonts w:ascii="仿宋" w:eastAsia="仿宋" w:hAnsi="仿宋" w:cs="仿宋" w:hint="eastAsia"/>
                <w:sz w:val="21"/>
                <w:szCs w:val="21"/>
                <w:lang w:eastAsia="zh-CN"/>
              </w:rPr>
              <w:t>类基金份额于</w:t>
            </w:r>
            <w:r>
              <w:rPr>
                <w:rFonts w:ascii="仿宋" w:eastAsia="仿宋" w:hAnsi="仿宋" w:cs="仿宋" w:hint="eastAsia"/>
                <w:sz w:val="21"/>
                <w:szCs w:val="21"/>
                <w:lang w:eastAsia="zh-CN"/>
              </w:rPr>
              <w:t xml:space="preserve"> 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4</w:t>
            </w:r>
            <w:r>
              <w:rPr>
                <w:rFonts w:ascii="仿宋" w:eastAsia="仿宋" w:hAnsi="仿宋" w:cs="仿宋" w:hint="eastAsia"/>
                <w:sz w:val="21"/>
                <w:szCs w:val="21"/>
                <w:lang w:eastAsia="zh-CN"/>
              </w:rPr>
              <w:t>日至</w:t>
            </w:r>
            <w:r>
              <w:rPr>
                <w:rFonts w:ascii="仿宋" w:eastAsia="仿宋" w:hAnsi="仿宋" w:cs="仿宋" w:hint="eastAsia"/>
                <w:sz w:val="21"/>
                <w:szCs w:val="21"/>
                <w:lang w:eastAsia="zh-CN"/>
              </w:rPr>
              <w:t>2025</w:t>
            </w:r>
            <w:r>
              <w:rPr>
                <w:rFonts w:ascii="仿宋" w:eastAsia="仿宋" w:hAnsi="仿宋" w:cs="仿宋" w:hint="eastAsia"/>
                <w:sz w:val="21"/>
                <w:szCs w:val="21"/>
                <w:lang w:eastAsia="zh-CN"/>
              </w:rPr>
              <w:t>年</w:t>
            </w:r>
            <w:r>
              <w:rPr>
                <w:rFonts w:ascii="仿宋" w:eastAsia="仿宋" w:hAnsi="仿宋" w:cs="仿宋" w:hint="eastAsia"/>
                <w:sz w:val="21"/>
                <w:szCs w:val="21"/>
                <w:lang w:eastAsia="zh-CN"/>
              </w:rPr>
              <w:t>6</w:t>
            </w:r>
            <w:r>
              <w:rPr>
                <w:rFonts w:ascii="仿宋" w:eastAsia="仿宋" w:hAnsi="仿宋" w:cs="仿宋" w:hint="eastAsia"/>
                <w:sz w:val="21"/>
                <w:szCs w:val="21"/>
                <w:lang w:eastAsia="zh-CN"/>
              </w:rPr>
              <w:t>月</w:t>
            </w:r>
            <w:r>
              <w:rPr>
                <w:rFonts w:ascii="仿宋" w:eastAsia="仿宋" w:hAnsi="仿宋" w:cs="仿宋" w:hint="eastAsia"/>
                <w:sz w:val="21"/>
                <w:szCs w:val="21"/>
                <w:lang w:eastAsia="zh-CN"/>
              </w:rPr>
              <w:t>30</w:t>
            </w:r>
            <w:r>
              <w:rPr>
                <w:rFonts w:ascii="仿宋" w:eastAsia="仿宋" w:hAnsi="仿宋" w:cs="仿宋" w:hint="eastAsia"/>
                <w:sz w:val="21"/>
                <w:szCs w:val="21"/>
                <w:lang w:eastAsia="zh-CN"/>
              </w:rPr>
              <w:t>日开放申购、</w:t>
            </w:r>
            <w:r>
              <w:rPr>
                <w:rFonts w:ascii="仿宋" w:eastAsia="仿宋" w:hAnsi="仿宋" w:cs="仿宋" w:hint="eastAsia"/>
                <w:sz w:val="21"/>
                <w:szCs w:val="21"/>
                <w:lang w:eastAsia="zh-CN"/>
              </w:rPr>
              <w:t>赎</w:t>
            </w:r>
            <w:r>
              <w:rPr>
                <w:rFonts w:ascii="仿宋" w:eastAsia="仿宋" w:hAnsi="仿宋" w:cs="仿宋" w:hint="eastAsia"/>
                <w:sz w:val="21"/>
                <w:szCs w:val="21"/>
                <w:lang w:eastAsia="zh-CN"/>
              </w:rPr>
              <w:t>回、转换业务；下一个封闭期自</w:t>
            </w:r>
            <w:r>
              <w:rPr>
                <w:rFonts w:ascii="仿宋" w:eastAsia="仿宋" w:hAnsi="仿宋" w:cs="仿宋" w:hint="eastAsia"/>
                <w:sz w:val="21"/>
                <w:szCs w:val="21"/>
                <w:lang w:eastAsia="zh-CN"/>
              </w:rPr>
              <w:t>本次开放期结束之日次日（含该日）起至三个月后对应日（如该对应日不存在或为非工作日，则顺延至下一工作日）前一日止的期间。</w:t>
            </w:r>
          </w:p>
          <w:p w:rsidR="00421A2B" w:rsidRDefault="001E0D5F" w:rsidP="001E0D5F">
            <w:pPr>
              <w:pStyle w:val="a4"/>
              <w:spacing w:beforeLines="50" w:line="360" w:lineRule="auto"/>
              <w:ind w:left="0" w:right="1254" w:firstLine="0"/>
              <w:rPr>
                <w:rFonts w:ascii="仿宋" w:eastAsia="仿宋" w:hAnsi="仿宋" w:cs="仿宋"/>
                <w:color w:val="000000"/>
                <w:sz w:val="21"/>
                <w:szCs w:val="21"/>
                <w:lang w:eastAsia="zh-CN"/>
              </w:rPr>
            </w:pPr>
            <w:r>
              <w:rPr>
                <w:rFonts w:ascii="仿宋" w:eastAsia="仿宋" w:hAnsi="仿宋" w:cs="仿宋" w:hint="eastAsia"/>
                <w:sz w:val="21"/>
                <w:szCs w:val="21"/>
                <w:lang w:eastAsia="zh-CN"/>
              </w:rPr>
              <w:t>后续产品上线及业务开通事宜本公司将另行公告。</w:t>
            </w:r>
            <w:r>
              <w:rPr>
                <w:rFonts w:ascii="仿宋" w:eastAsia="仿宋" w:hAnsi="仿宋" w:cs="仿宋" w:hint="eastAsia"/>
                <w:sz w:val="21"/>
                <w:szCs w:val="21"/>
                <w:lang w:eastAsia="zh-CN"/>
              </w:rPr>
              <w:t xml:space="preserve"> </w:t>
            </w:r>
          </w:p>
        </w:tc>
      </w:tr>
    </w:tbl>
    <w:p w:rsidR="00421A2B" w:rsidRDefault="00421A2B">
      <w:pPr>
        <w:rPr>
          <w:rFonts w:ascii="仿宋" w:eastAsia="仿宋" w:hAnsi="仿宋" w:cs="仿宋"/>
          <w:w w:val="95"/>
          <w:lang w:eastAsia="zh-CN" w:bidi="zh-CN"/>
        </w:rPr>
      </w:pPr>
    </w:p>
    <w:p w:rsidR="00421A2B" w:rsidRDefault="001E0D5F">
      <w:pPr>
        <w:pStyle w:val="2"/>
        <w:rPr>
          <w:rFonts w:ascii="仿宋" w:eastAsia="仿宋" w:hAnsi="仿宋" w:cs="仿宋"/>
        </w:rPr>
      </w:pPr>
      <w:r>
        <w:rPr>
          <w:rFonts w:ascii="仿宋" w:eastAsia="仿宋" w:hAnsi="仿宋" w:cs="仿宋" w:hint="eastAsia"/>
        </w:rPr>
        <w:t>二、重要提示</w:t>
      </w:r>
    </w:p>
    <w:p w:rsidR="00421A2B" w:rsidRDefault="001E0D5F">
      <w:pPr>
        <w:pStyle w:val="ab"/>
        <w:numPr>
          <w:ilvl w:val="0"/>
          <w:numId w:val="1"/>
        </w:numPr>
        <w:tabs>
          <w:tab w:val="left" w:pos="861"/>
        </w:tabs>
        <w:spacing w:line="360" w:lineRule="auto"/>
        <w:ind w:left="0" w:firstLine="482"/>
        <w:rPr>
          <w:rFonts w:ascii="仿宋" w:eastAsia="仿宋" w:hAnsi="仿宋" w:cs="仿宋"/>
          <w:sz w:val="24"/>
          <w:szCs w:val="24"/>
          <w:lang w:eastAsia="zh-CN"/>
        </w:rPr>
      </w:pPr>
      <w:r>
        <w:rPr>
          <w:rFonts w:ascii="仿宋" w:eastAsia="仿宋" w:hAnsi="仿宋" w:cs="仿宋" w:hint="eastAsia"/>
          <w:sz w:val="24"/>
          <w:szCs w:val="24"/>
          <w:lang w:eastAsia="zh-CN"/>
        </w:rPr>
        <w:t>上述基金费率请详见基金的《基金合同》、《招募说明书</w:t>
      </w:r>
      <w:r>
        <w:rPr>
          <w:rFonts w:ascii="仿宋" w:eastAsia="仿宋" w:hAnsi="仿宋" w:cs="仿宋" w:hint="eastAsia"/>
          <w:sz w:val="24"/>
          <w:lang w:eastAsia="zh-CN"/>
        </w:rPr>
        <w:t>（更新）</w:t>
      </w:r>
      <w:r>
        <w:rPr>
          <w:rFonts w:ascii="仿宋" w:eastAsia="仿宋" w:hAnsi="仿宋" w:cs="仿宋" w:hint="eastAsia"/>
          <w:sz w:val="24"/>
          <w:szCs w:val="24"/>
          <w:lang w:eastAsia="zh-CN"/>
        </w:rPr>
        <w:t>》、《基金产品资料概要》等相关法律文件及本公司发布的最新业务公告。</w:t>
      </w:r>
    </w:p>
    <w:p w:rsidR="00421A2B" w:rsidRDefault="001E0D5F">
      <w:pPr>
        <w:pStyle w:val="ab"/>
        <w:numPr>
          <w:ilvl w:val="0"/>
          <w:numId w:val="1"/>
        </w:numPr>
        <w:tabs>
          <w:tab w:val="left" w:pos="861"/>
        </w:tabs>
        <w:spacing w:line="360" w:lineRule="auto"/>
        <w:ind w:left="0" w:firstLine="482"/>
        <w:rPr>
          <w:rFonts w:ascii="仿宋" w:eastAsia="仿宋" w:hAnsi="仿宋" w:cs="仿宋"/>
          <w:sz w:val="24"/>
          <w:szCs w:val="24"/>
          <w:lang w:eastAsia="zh-CN"/>
        </w:rPr>
      </w:pPr>
      <w:r>
        <w:rPr>
          <w:rFonts w:ascii="仿宋" w:eastAsia="仿宋" w:hAnsi="仿宋" w:cs="仿宋" w:hint="eastAsia"/>
          <w:sz w:val="24"/>
          <w:szCs w:val="24"/>
          <w:lang w:eastAsia="zh-CN"/>
        </w:rPr>
        <w:t>定期定额投资业务不额外收取手续费用，定期定额申购费率与相关基金的日常的申购费率相同。</w:t>
      </w:r>
    </w:p>
    <w:p w:rsidR="00421A2B" w:rsidRDefault="001E0D5F">
      <w:pPr>
        <w:pStyle w:val="ab"/>
        <w:numPr>
          <w:ilvl w:val="0"/>
          <w:numId w:val="1"/>
        </w:numPr>
        <w:tabs>
          <w:tab w:val="left" w:pos="861"/>
        </w:tabs>
        <w:spacing w:line="360" w:lineRule="auto"/>
        <w:ind w:left="0" w:firstLine="482"/>
        <w:rPr>
          <w:rFonts w:ascii="仿宋" w:eastAsia="仿宋" w:hAnsi="仿宋" w:cs="仿宋"/>
          <w:sz w:val="24"/>
          <w:szCs w:val="24"/>
          <w:lang w:eastAsia="zh-CN"/>
        </w:rPr>
      </w:pPr>
      <w:r>
        <w:rPr>
          <w:rFonts w:ascii="仿宋" w:eastAsia="仿宋" w:hAnsi="仿宋" w:cs="仿宋" w:hint="eastAsia"/>
          <w:sz w:val="24"/>
          <w:szCs w:val="24"/>
          <w:lang w:eastAsia="zh-CN"/>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421A2B" w:rsidRDefault="001E0D5F">
      <w:pPr>
        <w:pStyle w:val="ab"/>
        <w:numPr>
          <w:ilvl w:val="0"/>
          <w:numId w:val="1"/>
        </w:numPr>
        <w:tabs>
          <w:tab w:val="left" w:pos="861"/>
        </w:tabs>
        <w:spacing w:line="360" w:lineRule="auto"/>
        <w:ind w:left="0" w:firstLine="482"/>
        <w:rPr>
          <w:rFonts w:ascii="仿宋" w:eastAsia="仿宋" w:hAnsi="仿宋" w:cs="仿宋"/>
          <w:sz w:val="24"/>
          <w:lang w:eastAsia="zh-CN"/>
        </w:rPr>
      </w:pPr>
      <w:r>
        <w:rPr>
          <w:rFonts w:ascii="仿宋" w:eastAsia="仿宋" w:hAnsi="仿宋" w:cs="仿宋" w:hint="eastAsia"/>
          <w:sz w:val="24"/>
          <w:szCs w:val="24"/>
          <w:lang w:eastAsia="zh-CN"/>
        </w:rPr>
        <w:t>业务办理的业务规则和流程以上述机构的安排和规定为准。相关活动的具体规定如有变化，以上述机构网站或平台的最新公告为准，敬请投资者关注。</w:t>
      </w:r>
    </w:p>
    <w:p w:rsidR="00421A2B" w:rsidRDefault="001E0D5F" w:rsidP="001E0D5F">
      <w:pPr>
        <w:spacing w:beforeLines="50"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三、投资者可通过以下途径咨询有关详情</w:t>
      </w:r>
    </w:p>
    <w:p w:rsidR="00421A2B" w:rsidRDefault="001E0D5F" w:rsidP="001E0D5F">
      <w:pPr>
        <w:pStyle w:val="a4"/>
        <w:spacing w:beforeLines="50" w:line="360" w:lineRule="auto"/>
        <w:rPr>
          <w:rFonts w:ascii="仿宋" w:eastAsia="仿宋" w:hAnsi="仿宋" w:cs="仿宋"/>
          <w:lang w:eastAsia="zh-CN"/>
        </w:rPr>
      </w:pPr>
      <w:r>
        <w:rPr>
          <w:rFonts w:ascii="仿宋" w:eastAsia="仿宋" w:hAnsi="仿宋" w:cs="仿宋" w:hint="eastAsia"/>
          <w:lang w:eastAsia="zh-CN"/>
        </w:rPr>
        <w:t>1.</w:t>
      </w:r>
      <w:r>
        <w:rPr>
          <w:rFonts w:ascii="仿宋" w:eastAsia="仿宋" w:hAnsi="仿宋" w:cs="仿宋" w:hint="eastAsia"/>
          <w:lang w:eastAsia="zh-CN"/>
        </w:rPr>
        <w:t>中邮证券有限责任公司</w:t>
      </w:r>
    </w:p>
    <w:p w:rsidR="00421A2B" w:rsidRDefault="001E0D5F" w:rsidP="001E0D5F">
      <w:pPr>
        <w:pStyle w:val="a4"/>
        <w:spacing w:beforeLines="50" w:line="360" w:lineRule="auto"/>
        <w:rPr>
          <w:rFonts w:ascii="仿宋" w:eastAsia="仿宋" w:hAnsi="仿宋" w:cs="仿宋"/>
          <w:lang w:eastAsia="zh-CN"/>
        </w:rPr>
      </w:pPr>
      <w:r>
        <w:rPr>
          <w:rFonts w:ascii="仿宋" w:eastAsia="仿宋" w:hAnsi="仿宋" w:cs="仿宋" w:hint="eastAsia"/>
          <w:lang w:eastAsia="zh-CN"/>
        </w:rPr>
        <w:t>客服电话：</w:t>
      </w:r>
      <w:r>
        <w:rPr>
          <w:rFonts w:ascii="仿宋" w:eastAsia="仿宋" w:hAnsi="仿宋" w:cs="仿宋" w:hint="eastAsia"/>
          <w:lang w:eastAsia="zh-CN"/>
        </w:rPr>
        <w:t>956039 / 4008-888-005</w:t>
      </w:r>
    </w:p>
    <w:p w:rsidR="00421A2B" w:rsidRDefault="001E0D5F" w:rsidP="001E0D5F">
      <w:pPr>
        <w:pStyle w:val="a4"/>
        <w:spacing w:beforeLines="50" w:line="360" w:lineRule="auto"/>
        <w:rPr>
          <w:rFonts w:ascii="仿宋" w:eastAsia="仿宋" w:hAnsi="仿宋" w:cs="仿宋"/>
          <w:lang w:eastAsia="zh-CN"/>
        </w:rPr>
      </w:pPr>
      <w:r>
        <w:rPr>
          <w:rFonts w:ascii="仿宋" w:eastAsia="仿宋" w:hAnsi="仿宋" w:cs="仿宋" w:hint="eastAsia"/>
          <w:lang w:eastAsia="zh-CN"/>
        </w:rPr>
        <w:t>网址：</w:t>
      </w:r>
      <w:r>
        <w:rPr>
          <w:rFonts w:ascii="仿宋" w:eastAsia="仿宋" w:hAnsi="仿宋" w:cs="仿宋" w:hint="eastAsia"/>
          <w:lang w:eastAsia="zh-CN"/>
        </w:rPr>
        <w:t>www.cnpsec.com</w:t>
      </w:r>
    </w:p>
    <w:p w:rsidR="00421A2B" w:rsidRDefault="001E0D5F" w:rsidP="001E0D5F">
      <w:pPr>
        <w:spacing w:beforeLines="50" w:line="360" w:lineRule="auto"/>
        <w:ind w:left="539"/>
        <w:rPr>
          <w:rFonts w:ascii="仿宋" w:eastAsia="仿宋" w:hAnsi="仿宋" w:cs="仿宋"/>
          <w:lang w:eastAsia="zh-CN"/>
        </w:rPr>
      </w:pPr>
      <w:r>
        <w:rPr>
          <w:rFonts w:ascii="仿宋" w:eastAsia="仿宋" w:hAnsi="仿宋" w:cs="仿宋" w:hint="eastAsia"/>
          <w:lang w:eastAsia="zh-CN"/>
        </w:rPr>
        <w:t>2.</w:t>
      </w:r>
      <w:r>
        <w:rPr>
          <w:rFonts w:ascii="仿宋" w:eastAsia="仿宋" w:hAnsi="仿宋" w:cs="仿宋" w:hint="eastAsia"/>
          <w:lang w:eastAsia="zh-CN"/>
        </w:rPr>
        <w:t>本公司客</w:t>
      </w:r>
      <w:r>
        <w:rPr>
          <w:rFonts w:ascii="仿宋" w:eastAsia="仿宋" w:hAnsi="仿宋" w:cs="仿宋" w:hint="eastAsia"/>
          <w:lang w:eastAsia="zh-CN"/>
        </w:rPr>
        <w:t>户服务中心电话：</w:t>
      </w:r>
      <w:r>
        <w:rPr>
          <w:rFonts w:ascii="仿宋" w:eastAsia="仿宋" w:hAnsi="仿宋" w:cs="仿宋" w:hint="eastAsia"/>
          <w:lang w:eastAsia="zh-CN"/>
        </w:rPr>
        <w:t>400-628-5888</w:t>
      </w:r>
    </w:p>
    <w:p w:rsidR="00421A2B" w:rsidRDefault="001E0D5F" w:rsidP="001E0D5F">
      <w:pPr>
        <w:spacing w:beforeLines="50" w:line="360" w:lineRule="auto"/>
        <w:ind w:left="539"/>
        <w:rPr>
          <w:rFonts w:ascii="仿宋" w:eastAsia="仿宋" w:hAnsi="仿宋" w:cs="仿宋"/>
          <w:lang w:eastAsia="zh-CN"/>
        </w:rPr>
      </w:pPr>
      <w:r>
        <w:rPr>
          <w:rFonts w:ascii="仿宋" w:eastAsia="仿宋" w:hAnsi="仿宋" w:cs="仿宋" w:hint="eastAsia"/>
          <w:lang w:eastAsia="zh-CN"/>
        </w:rPr>
        <w:t>网址：</w:t>
      </w:r>
      <w:r>
        <w:rPr>
          <w:rFonts w:ascii="仿宋" w:eastAsia="仿宋" w:hAnsi="仿宋" w:cs="仿宋" w:hint="eastAsia"/>
          <w:lang w:eastAsia="zh-CN"/>
        </w:rPr>
        <w:t>www.orient-fund.com</w:t>
      </w:r>
    </w:p>
    <w:p w:rsidR="00421A2B" w:rsidRDefault="001E0D5F">
      <w:pPr>
        <w:pStyle w:val="a4"/>
        <w:spacing w:line="364" w:lineRule="auto"/>
        <w:ind w:right="3839"/>
        <w:rPr>
          <w:rFonts w:ascii="仿宋" w:eastAsia="仿宋" w:hAnsi="仿宋" w:cs="仿宋"/>
          <w:b/>
          <w:lang w:eastAsia="zh-CN"/>
        </w:rPr>
      </w:pPr>
      <w:r>
        <w:rPr>
          <w:rFonts w:ascii="仿宋" w:eastAsia="仿宋" w:hAnsi="仿宋" w:cs="仿宋" w:hint="eastAsia"/>
          <w:b/>
          <w:lang w:eastAsia="zh-CN"/>
        </w:rPr>
        <w:t>风险提示：</w:t>
      </w:r>
    </w:p>
    <w:p w:rsidR="00421A2B" w:rsidRDefault="001E0D5F">
      <w:pPr>
        <w:pStyle w:val="a4"/>
        <w:spacing w:before="1" w:line="360" w:lineRule="auto"/>
        <w:ind w:left="0" w:right="239" w:firstLineChars="200"/>
        <w:jc w:val="both"/>
        <w:rPr>
          <w:rFonts w:ascii="仿宋" w:eastAsia="仿宋" w:hAnsi="仿宋" w:cs="仿宋"/>
          <w:lang w:eastAsia="zh-CN"/>
        </w:rPr>
      </w:pPr>
      <w:r>
        <w:rPr>
          <w:rFonts w:ascii="仿宋" w:eastAsia="仿宋" w:hAnsi="仿宋" w:cs="仿宋" w:hint="eastAsia"/>
          <w:lang w:eastAsia="zh-CN"/>
        </w:rPr>
        <w:t>基金管理人承诺以诚实信用、勤勉尽责的原则管理和运用基金资产，但不保证基金一定盈利，也不保证最低收益。基金的过往业绩及其净值高低并不预示其未来业绩表现。基金管理人管理的基金业绩不构成对其他基金业绩表现的保证。基金管理人提醒投资人遵循基金投资“买者自负”的原则，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w:t>
      </w:r>
      <w:r>
        <w:rPr>
          <w:rFonts w:ascii="仿宋" w:eastAsia="仿宋" w:hAnsi="仿宋" w:cs="仿宋" w:hint="eastAsia"/>
          <w:lang w:eastAsia="zh-CN"/>
        </w:rPr>
        <w:t>的投资风险，由投资者自行负担。</w:t>
      </w:r>
    </w:p>
    <w:p w:rsidR="00421A2B" w:rsidRDefault="001E0D5F">
      <w:pPr>
        <w:pStyle w:val="a4"/>
        <w:spacing w:before="1" w:line="360" w:lineRule="auto"/>
        <w:ind w:right="239"/>
        <w:jc w:val="both"/>
        <w:rPr>
          <w:rFonts w:ascii="仿宋" w:eastAsia="仿宋" w:hAnsi="仿宋" w:cs="仿宋"/>
          <w:lang w:eastAsia="zh-CN"/>
        </w:rPr>
      </w:pPr>
      <w:r>
        <w:rPr>
          <w:rFonts w:ascii="仿宋" w:eastAsia="仿宋" w:hAnsi="仿宋" w:cs="仿宋" w:hint="eastAsia"/>
          <w:lang w:eastAsia="zh-CN"/>
        </w:rPr>
        <w:t>特此公告。</w:t>
      </w:r>
    </w:p>
    <w:p w:rsidR="00421A2B" w:rsidRDefault="001E0D5F">
      <w:pPr>
        <w:spacing w:line="364" w:lineRule="auto"/>
        <w:jc w:val="right"/>
        <w:rPr>
          <w:rFonts w:ascii="仿宋" w:eastAsia="仿宋" w:hAnsi="仿宋" w:cs="仿宋"/>
          <w:sz w:val="24"/>
          <w:szCs w:val="24"/>
          <w:lang w:eastAsia="zh-CN"/>
        </w:rPr>
      </w:pPr>
      <w:r>
        <w:rPr>
          <w:rFonts w:ascii="仿宋" w:eastAsia="仿宋" w:hAnsi="仿宋" w:cs="仿宋" w:hint="eastAsia"/>
          <w:sz w:val="24"/>
          <w:szCs w:val="24"/>
          <w:lang w:eastAsia="zh-CN"/>
        </w:rPr>
        <w:t>东方基金管理股份有限公司</w:t>
      </w:r>
    </w:p>
    <w:p w:rsidR="00421A2B" w:rsidRDefault="001E0D5F">
      <w:pPr>
        <w:jc w:val="right"/>
        <w:rPr>
          <w:rFonts w:ascii="仿宋" w:eastAsia="仿宋" w:hAnsi="仿宋" w:cs="仿宋"/>
        </w:rPr>
      </w:pPr>
      <w:r>
        <w:rPr>
          <w:rFonts w:ascii="仿宋" w:eastAsia="仿宋" w:hAnsi="仿宋" w:cs="仿宋" w:hint="eastAsia"/>
          <w:sz w:val="24"/>
          <w:szCs w:val="24"/>
        </w:rPr>
        <w:t>二〇二五年</w:t>
      </w:r>
      <w:r>
        <w:rPr>
          <w:rFonts w:ascii="仿宋" w:eastAsia="仿宋" w:hAnsi="仿宋" w:cs="仿宋" w:hint="eastAsia"/>
          <w:sz w:val="24"/>
          <w:szCs w:val="24"/>
          <w:lang w:eastAsia="zh-CN"/>
        </w:rPr>
        <w:t>六</w:t>
      </w:r>
      <w:r>
        <w:rPr>
          <w:rFonts w:ascii="仿宋" w:eastAsia="仿宋" w:hAnsi="仿宋" w:cs="仿宋" w:hint="eastAsia"/>
          <w:sz w:val="24"/>
          <w:szCs w:val="24"/>
        </w:rPr>
        <w:t>月</w:t>
      </w:r>
      <w:r>
        <w:rPr>
          <w:rFonts w:ascii="仿宋" w:eastAsia="仿宋" w:hAnsi="仿宋" w:cs="仿宋" w:hint="eastAsia"/>
          <w:sz w:val="24"/>
          <w:szCs w:val="24"/>
          <w:lang w:eastAsia="zh-CN"/>
        </w:rPr>
        <w:t>十二</w:t>
      </w:r>
      <w:r>
        <w:rPr>
          <w:rFonts w:ascii="仿宋" w:eastAsia="仿宋" w:hAnsi="仿宋" w:cs="仿宋" w:hint="eastAsia"/>
          <w:sz w:val="24"/>
          <w:szCs w:val="24"/>
        </w:rPr>
        <w:t>日</w:t>
      </w:r>
    </w:p>
    <w:p w:rsidR="00421A2B" w:rsidRDefault="00421A2B">
      <w:pPr>
        <w:rPr>
          <w:rFonts w:ascii="仿宋" w:eastAsia="仿宋" w:hAnsi="仿宋" w:cs="仿宋"/>
        </w:rPr>
      </w:pPr>
    </w:p>
    <w:p w:rsidR="00421A2B" w:rsidRDefault="00421A2B">
      <w:pPr>
        <w:pStyle w:val="a4"/>
        <w:spacing w:line="360" w:lineRule="auto"/>
        <w:ind w:left="5860" w:firstLine="0"/>
        <w:jc w:val="center"/>
        <w:rPr>
          <w:rFonts w:ascii="仿宋" w:eastAsia="仿宋" w:hAnsi="仿宋" w:cs="仿宋"/>
          <w:lang w:eastAsia="zh-CN"/>
        </w:rPr>
      </w:pPr>
    </w:p>
    <w:sectPr w:rsidR="00421A2B" w:rsidSect="00421A2B">
      <w:pgSz w:w="12240" w:h="15840"/>
      <w:pgMar w:top="1400" w:right="144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default"/>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compat>
    <w:ulTrailSpace/>
    <w:doNotExpandShiftReturn/>
    <w:useFELayout/>
  </w:compat>
  <w:rsids>
    <w:rsidRoot w:val="00A51377"/>
    <w:rsid w:val="001A54BF"/>
    <w:rsid w:val="001E0D5F"/>
    <w:rsid w:val="002364AF"/>
    <w:rsid w:val="00310D78"/>
    <w:rsid w:val="00421A2B"/>
    <w:rsid w:val="008647BD"/>
    <w:rsid w:val="00A51377"/>
    <w:rsid w:val="00A60342"/>
    <w:rsid w:val="00AD27F9"/>
    <w:rsid w:val="00EA3CF2"/>
    <w:rsid w:val="00ED70CA"/>
    <w:rsid w:val="12AD766B"/>
    <w:rsid w:val="148041CE"/>
    <w:rsid w:val="24A274A8"/>
    <w:rsid w:val="2A8A7C10"/>
    <w:rsid w:val="3CA17C8D"/>
    <w:rsid w:val="4027440D"/>
    <w:rsid w:val="42C77D7C"/>
    <w:rsid w:val="4D6D3C86"/>
    <w:rsid w:val="57BD3C24"/>
    <w:rsid w:val="660B066C"/>
    <w:rsid w:val="6A402F67"/>
    <w:rsid w:val="7067198E"/>
    <w:rsid w:val="7B8E6FD8"/>
    <w:rsid w:val="7C843C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2B"/>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rsid w:val="00421A2B"/>
    <w:pPr>
      <w:spacing w:before="3"/>
      <w:ind w:left="220"/>
      <w:outlineLvl w:val="0"/>
    </w:pPr>
    <w:rPr>
      <w:b/>
      <w:bCs/>
      <w:sz w:val="24"/>
      <w:szCs w:val="24"/>
    </w:rPr>
  </w:style>
  <w:style w:type="paragraph" w:styleId="2">
    <w:name w:val="heading 2"/>
    <w:basedOn w:val="a"/>
    <w:next w:val="a"/>
    <w:uiPriority w:val="1"/>
    <w:qFormat/>
    <w:rsid w:val="00421A2B"/>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21A2B"/>
  </w:style>
  <w:style w:type="paragraph" w:styleId="a4">
    <w:name w:val="Body Text"/>
    <w:basedOn w:val="a"/>
    <w:link w:val="Char0"/>
    <w:uiPriority w:val="1"/>
    <w:qFormat/>
    <w:rsid w:val="00421A2B"/>
    <w:pPr>
      <w:ind w:left="120" w:firstLine="480"/>
    </w:pPr>
    <w:rPr>
      <w:rFonts w:ascii="宋体" w:eastAsia="宋体" w:hAnsi="宋体"/>
      <w:sz w:val="24"/>
      <w:szCs w:val="24"/>
    </w:rPr>
  </w:style>
  <w:style w:type="paragraph" w:styleId="a5">
    <w:name w:val="Balloon Text"/>
    <w:basedOn w:val="a"/>
    <w:link w:val="Char1"/>
    <w:uiPriority w:val="99"/>
    <w:semiHidden/>
    <w:unhideWhenUsed/>
    <w:qFormat/>
    <w:rsid w:val="00421A2B"/>
    <w:rPr>
      <w:sz w:val="18"/>
      <w:szCs w:val="18"/>
    </w:rPr>
  </w:style>
  <w:style w:type="paragraph" w:styleId="a6">
    <w:name w:val="footer"/>
    <w:basedOn w:val="a"/>
    <w:link w:val="Char2"/>
    <w:uiPriority w:val="99"/>
    <w:semiHidden/>
    <w:unhideWhenUsed/>
    <w:qFormat/>
    <w:rsid w:val="00421A2B"/>
    <w:pPr>
      <w:tabs>
        <w:tab w:val="center" w:pos="4153"/>
        <w:tab w:val="right" w:pos="8306"/>
      </w:tabs>
      <w:snapToGrid w:val="0"/>
    </w:pPr>
    <w:rPr>
      <w:sz w:val="18"/>
      <w:szCs w:val="18"/>
    </w:rPr>
  </w:style>
  <w:style w:type="paragraph" w:styleId="a7">
    <w:name w:val="header"/>
    <w:basedOn w:val="a"/>
    <w:link w:val="Char3"/>
    <w:uiPriority w:val="99"/>
    <w:semiHidden/>
    <w:unhideWhenUsed/>
    <w:qFormat/>
    <w:rsid w:val="00421A2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421A2B"/>
    <w:rPr>
      <w:b/>
      <w:bCs/>
    </w:rPr>
  </w:style>
  <w:style w:type="character" w:styleId="a9">
    <w:name w:val="Hyperlink"/>
    <w:basedOn w:val="a0"/>
    <w:uiPriority w:val="99"/>
    <w:unhideWhenUsed/>
    <w:qFormat/>
    <w:rsid w:val="00421A2B"/>
    <w:rPr>
      <w:color w:val="0000FF" w:themeColor="hyperlink"/>
      <w:u w:val="single"/>
    </w:rPr>
  </w:style>
  <w:style w:type="character" w:styleId="aa">
    <w:name w:val="annotation reference"/>
    <w:basedOn w:val="a0"/>
    <w:uiPriority w:val="99"/>
    <w:semiHidden/>
    <w:unhideWhenUsed/>
    <w:qFormat/>
    <w:rsid w:val="00421A2B"/>
    <w:rPr>
      <w:sz w:val="21"/>
      <w:szCs w:val="21"/>
    </w:rPr>
  </w:style>
  <w:style w:type="table" w:customStyle="1" w:styleId="TableNormal">
    <w:name w:val="Table Normal"/>
    <w:uiPriority w:val="2"/>
    <w:semiHidden/>
    <w:unhideWhenUsed/>
    <w:qFormat/>
    <w:rsid w:val="00421A2B"/>
    <w:tblPr>
      <w:tblCellMar>
        <w:top w:w="0" w:type="dxa"/>
        <w:left w:w="0" w:type="dxa"/>
        <w:bottom w:w="0" w:type="dxa"/>
        <w:right w:w="0" w:type="dxa"/>
      </w:tblCellMar>
    </w:tblPr>
  </w:style>
  <w:style w:type="paragraph" w:styleId="ab">
    <w:name w:val="List Paragraph"/>
    <w:basedOn w:val="a"/>
    <w:uiPriority w:val="1"/>
    <w:qFormat/>
    <w:rsid w:val="00421A2B"/>
  </w:style>
  <w:style w:type="paragraph" w:customStyle="1" w:styleId="TableParagraph">
    <w:name w:val="Table Paragraph"/>
    <w:basedOn w:val="a"/>
    <w:uiPriority w:val="1"/>
    <w:qFormat/>
    <w:rsid w:val="00421A2B"/>
  </w:style>
  <w:style w:type="character" w:customStyle="1" w:styleId="UnresolvedMention">
    <w:name w:val="Unresolved Mention"/>
    <w:basedOn w:val="a0"/>
    <w:uiPriority w:val="99"/>
    <w:semiHidden/>
    <w:unhideWhenUsed/>
    <w:qFormat/>
    <w:rsid w:val="00421A2B"/>
    <w:rPr>
      <w:color w:val="605E5C"/>
      <w:shd w:val="clear" w:color="auto" w:fill="E1DFDD"/>
    </w:rPr>
  </w:style>
  <w:style w:type="table" w:customStyle="1" w:styleId="GridTableLight">
    <w:name w:val="Grid Table Light"/>
    <w:basedOn w:val="a1"/>
    <w:uiPriority w:val="40"/>
    <w:qFormat/>
    <w:rsid w:val="00421A2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r">
    <w:name w:val="批注文字 Char"/>
    <w:basedOn w:val="a0"/>
    <w:link w:val="a3"/>
    <w:uiPriority w:val="99"/>
    <w:qFormat/>
    <w:rsid w:val="00421A2B"/>
  </w:style>
  <w:style w:type="character" w:customStyle="1" w:styleId="Char4">
    <w:name w:val="批注主题 Char"/>
    <w:basedOn w:val="Char"/>
    <w:link w:val="a8"/>
    <w:uiPriority w:val="99"/>
    <w:semiHidden/>
    <w:qFormat/>
    <w:rsid w:val="00421A2B"/>
    <w:rPr>
      <w:b/>
      <w:bCs/>
    </w:rPr>
  </w:style>
  <w:style w:type="character" w:customStyle="1" w:styleId="Char0">
    <w:name w:val="正文文本 Char"/>
    <w:basedOn w:val="a0"/>
    <w:link w:val="a4"/>
    <w:uiPriority w:val="1"/>
    <w:qFormat/>
    <w:rsid w:val="00421A2B"/>
    <w:rPr>
      <w:rFonts w:ascii="宋体" w:eastAsia="宋体" w:hAnsi="宋体"/>
      <w:sz w:val="24"/>
      <w:szCs w:val="24"/>
    </w:rPr>
  </w:style>
  <w:style w:type="character" w:customStyle="1" w:styleId="Char3">
    <w:name w:val="页眉 Char"/>
    <w:basedOn w:val="a0"/>
    <w:link w:val="a7"/>
    <w:uiPriority w:val="99"/>
    <w:semiHidden/>
    <w:qFormat/>
    <w:rsid w:val="00421A2B"/>
    <w:rPr>
      <w:rFonts w:asciiTheme="minorHAnsi" w:eastAsiaTheme="minorEastAsia" w:hAnsiTheme="minorHAnsi" w:cstheme="minorBidi"/>
      <w:sz w:val="18"/>
      <w:szCs w:val="18"/>
      <w:lang w:eastAsia="en-US"/>
    </w:rPr>
  </w:style>
  <w:style w:type="character" w:customStyle="1" w:styleId="Char2">
    <w:name w:val="页脚 Char"/>
    <w:basedOn w:val="a0"/>
    <w:link w:val="a6"/>
    <w:uiPriority w:val="99"/>
    <w:semiHidden/>
    <w:qFormat/>
    <w:rsid w:val="00421A2B"/>
    <w:rPr>
      <w:rFonts w:asciiTheme="minorHAnsi" w:eastAsiaTheme="minorEastAsia" w:hAnsiTheme="minorHAnsi" w:cstheme="minorBidi"/>
      <w:sz w:val="18"/>
      <w:szCs w:val="18"/>
      <w:lang w:eastAsia="en-US"/>
    </w:rPr>
  </w:style>
  <w:style w:type="character" w:customStyle="1" w:styleId="Char1">
    <w:name w:val="批注框文本 Char"/>
    <w:basedOn w:val="a0"/>
    <w:link w:val="a5"/>
    <w:uiPriority w:val="99"/>
    <w:semiHidden/>
    <w:qFormat/>
    <w:rsid w:val="00421A2B"/>
    <w:rPr>
      <w:rFonts w:asciiTheme="minorHAnsi" w:eastAsiaTheme="minorEastAsia" w:hAnsiTheme="minorHAnsi"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4647</Characters>
  <Application>Microsoft Office Word</Application>
  <DocSecurity>4</DocSecurity>
  <Lines>38</Lines>
  <Paragraphs>10</Paragraphs>
  <ScaleCrop>false</ScaleCrop>
  <Company>CNSTOCK</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2025-06-11T16:00:00Z</dcterms:created>
  <dcterms:modified xsi:type="dcterms:W3CDTF">2025-06-11T16:00:00Z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WPS 文字</vt:lpwstr>
  </property>
  <property fmtid="{D5CDD505-2E9C-101B-9397-08002B2CF9AE}" pid="4" name="LastSaved">
    <vt:filetime>2024-11-28T00:00:00Z</vt:filetime>
  </property>
  <property fmtid="{D5CDD505-2E9C-101B-9397-08002B2CF9AE}" pid="5" name="KSOProductBuildVer">
    <vt:lpwstr>2052-12.1.0.21541</vt:lpwstr>
  </property>
  <property fmtid="{D5CDD505-2E9C-101B-9397-08002B2CF9AE}" pid="6" name="ICV">
    <vt:lpwstr>5AC1132CD82B464E89EDBAEAC6A39F8E_13</vt:lpwstr>
  </property>
  <property fmtid="{D5CDD505-2E9C-101B-9397-08002B2CF9AE}" pid="7" name="KSOTemplateDocerSaveRecord">
    <vt:lpwstr>eyJoZGlkIjoiYzZmZWU2MTI5ZjJhN2IxNTAwN2ZhNjFmMjEyYTUxMDYiLCJ1c2VySWQiOiIyNjIwNTA5MDQifQ==</vt:lpwstr>
  </property>
</Properties>
</file>