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611A8">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基金新增中国邮政储蓄银行</w:t>
      </w:r>
      <w:r>
        <w:rPr>
          <w:rStyle w:val="da"/>
          <w:rFonts w:ascii="黑体" w:eastAsia="黑体" w:hAnsi="黑体" w:cs="黑体" w:hint="eastAsia"/>
          <w:b/>
          <w:bCs/>
          <w:sz w:val="28"/>
          <w:szCs w:val="28"/>
        </w:rPr>
        <w:t>股份有限</w:t>
      </w:r>
      <w:r>
        <w:rPr>
          <w:rStyle w:val="da"/>
          <w:rFonts w:ascii="黑体" w:eastAsia="黑体" w:hAnsi="黑体" w:cs="黑体" w:hint="eastAsia"/>
          <w:b/>
          <w:bCs/>
          <w:sz w:val="28"/>
          <w:szCs w:val="28"/>
        </w:rPr>
        <w:t>公司为代销机构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w:t>
      </w:r>
      <w:r>
        <w:rPr>
          <w:rStyle w:val="da"/>
          <w:rFonts w:ascii="黑体" w:eastAsia="黑体" w:hAnsi="黑体" w:cs="黑体" w:hint="eastAsia"/>
          <w:b/>
          <w:bCs/>
          <w:sz w:val="28"/>
          <w:szCs w:val="28"/>
        </w:rPr>
        <w:t>及转换业务</w:t>
      </w:r>
      <w:r>
        <w:rPr>
          <w:rStyle w:val="da"/>
          <w:rFonts w:ascii="黑体" w:eastAsia="黑体" w:hAnsi="黑体" w:cs="黑体" w:hint="eastAsia"/>
          <w:b/>
          <w:bCs/>
          <w:sz w:val="28"/>
          <w:szCs w:val="28"/>
        </w:rPr>
        <w:t>的公告</w:t>
      </w:r>
    </w:p>
    <w:p w:rsidR="00000000" w:rsidRDefault="009611A8">
      <w:pPr>
        <w:spacing w:line="400" w:lineRule="exact"/>
        <w:jc w:val="center"/>
        <w:rPr>
          <w:rStyle w:val="da"/>
          <w:rFonts w:ascii="宋体" w:hAnsi="宋体" w:hint="eastAsia"/>
          <w:b/>
          <w:bCs/>
        </w:rPr>
      </w:pPr>
    </w:p>
    <w:p w:rsidR="00000000" w:rsidRDefault="009611A8">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根据东吴基金管理有限公司（以下简称“东吴基金”）与中国邮政储蓄银行</w:t>
      </w:r>
      <w:r>
        <w:rPr>
          <w:rFonts w:cs="宋体" w:hint="eastAsia"/>
          <w:kern w:val="0"/>
          <w:szCs w:val="21"/>
        </w:rPr>
        <w:t>股份有限</w:t>
      </w:r>
      <w:r>
        <w:rPr>
          <w:rFonts w:cs="宋体" w:hint="eastAsia"/>
          <w:kern w:val="0"/>
          <w:szCs w:val="21"/>
        </w:rPr>
        <w:t>公司（以下简称</w:t>
      </w:r>
      <w:r>
        <w:rPr>
          <w:rFonts w:cs="宋体" w:hint="eastAsia"/>
          <w:kern w:val="0"/>
          <w:szCs w:val="21"/>
        </w:rPr>
        <w:t>“</w:t>
      </w:r>
      <w:r>
        <w:rPr>
          <w:rFonts w:cs="宋体" w:hint="eastAsia"/>
          <w:kern w:val="0"/>
          <w:szCs w:val="21"/>
        </w:rPr>
        <w:t>邮储银行</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2025</w:t>
      </w:r>
      <w:r>
        <w:rPr>
          <w:rFonts w:cs="宋体" w:hint="eastAsia"/>
          <w:kern w:val="0"/>
          <w:szCs w:val="21"/>
        </w:rPr>
        <w:t>年</w:t>
      </w:r>
      <w:r>
        <w:rPr>
          <w:rFonts w:cs="宋体" w:hint="eastAsia"/>
          <w:kern w:val="0"/>
          <w:szCs w:val="21"/>
        </w:rPr>
        <w:t>6</w:t>
      </w:r>
      <w:r>
        <w:rPr>
          <w:rFonts w:cs="宋体" w:hint="eastAsia"/>
          <w:kern w:val="0"/>
          <w:szCs w:val="21"/>
        </w:rPr>
        <w:t>月</w:t>
      </w:r>
      <w:r>
        <w:rPr>
          <w:rFonts w:cs="宋体" w:hint="eastAsia"/>
          <w:kern w:val="0"/>
          <w:szCs w:val="21"/>
        </w:rPr>
        <w:t>13</w:t>
      </w:r>
      <w:r>
        <w:rPr>
          <w:rFonts w:cs="宋体" w:hint="eastAsia"/>
          <w:kern w:val="0"/>
          <w:szCs w:val="21"/>
        </w:rPr>
        <w:t>日</w:t>
      </w:r>
      <w:r>
        <w:rPr>
          <w:rFonts w:cs="宋体" w:hint="eastAsia"/>
          <w:kern w:val="0"/>
          <w:szCs w:val="21"/>
        </w:rPr>
        <w:t>起通过</w:t>
      </w:r>
      <w:r>
        <w:rPr>
          <w:rFonts w:cs="宋体" w:hint="eastAsia"/>
          <w:kern w:val="0"/>
          <w:szCs w:val="21"/>
        </w:rPr>
        <w:t>邮储银行</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w:t>
      </w:r>
      <w:r>
        <w:rPr>
          <w:rFonts w:cs="宋体" w:hint="eastAsia"/>
          <w:kern w:val="0"/>
          <w:szCs w:val="21"/>
        </w:rPr>
        <w:t>现将有关事项公告如下：</w:t>
      </w:r>
    </w:p>
    <w:p w:rsidR="00000000" w:rsidRDefault="009611A8">
      <w:pPr>
        <w:widowControl/>
        <w:spacing w:line="360" w:lineRule="auto"/>
        <w:ind w:firstLineChars="200" w:firstLine="420"/>
        <w:jc w:val="left"/>
        <w:rPr>
          <w:rFonts w:cs="宋体" w:hint="eastAsia"/>
          <w:kern w:val="0"/>
          <w:szCs w:val="21"/>
        </w:rPr>
      </w:pPr>
    </w:p>
    <w:p w:rsidR="00000000" w:rsidRDefault="009611A8">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000000">
        <w:trPr>
          <w:trHeight w:val="90"/>
          <w:jc w:val="center"/>
        </w:trPr>
        <w:tc>
          <w:tcPr>
            <w:tcW w:w="676" w:type="dxa"/>
          </w:tcPr>
          <w:p w:rsidR="00000000" w:rsidRDefault="009611A8">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000000" w:rsidRDefault="009611A8">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000000" w:rsidRDefault="009611A8">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szCs w:val="21"/>
                <w:lang/>
              </w:rPr>
            </w:pPr>
            <w:r>
              <w:rPr>
                <w:rFonts w:ascii="宋体" w:hAnsi="宋体" w:cs="宋体" w:hint="eastAsia"/>
                <w:szCs w:val="21"/>
                <w:lang/>
              </w:rPr>
              <w:t>东吴嘉禾优势精选混合型开放式证券投资基金</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color w:val="000000"/>
                <w:szCs w:val="21"/>
              </w:rPr>
            </w:pPr>
            <w:r>
              <w:rPr>
                <w:rFonts w:ascii="宋体" w:hAnsi="宋体" w:cs="宋体" w:hint="eastAsia"/>
                <w:szCs w:val="21"/>
                <w:lang/>
              </w:rPr>
              <w:t>015152</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szCs w:val="21"/>
                <w:lang/>
              </w:rPr>
            </w:pPr>
            <w:r>
              <w:rPr>
                <w:rFonts w:ascii="宋体" w:hAnsi="宋体" w:cs="宋体" w:hint="eastAsia"/>
                <w:szCs w:val="21"/>
                <w:lang/>
              </w:rPr>
              <w:t>东吴价值成长双动</w:t>
            </w:r>
            <w:r>
              <w:rPr>
                <w:rFonts w:ascii="宋体" w:hAnsi="宋体" w:cs="宋体" w:hint="eastAsia"/>
                <w:szCs w:val="21"/>
                <w:lang/>
              </w:rPr>
              <w:t>力混合型证券投资基金</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hint="eastAsia"/>
                <w:szCs w:val="21"/>
                <w:lang/>
              </w:rPr>
            </w:pPr>
            <w:r>
              <w:rPr>
                <w:rFonts w:ascii="宋体" w:hAnsi="宋体" w:cs="宋体" w:hint="eastAsia"/>
                <w:szCs w:val="21"/>
                <w:lang/>
              </w:rPr>
              <w:t>011241</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color w:val="000000"/>
                <w:kern w:val="0"/>
                <w:szCs w:val="21"/>
                <w:lang/>
              </w:rPr>
            </w:pPr>
            <w:r>
              <w:rPr>
                <w:rFonts w:ascii="宋体" w:hAnsi="宋体" w:cs="宋体" w:hint="eastAsia"/>
                <w:szCs w:val="21"/>
                <w:lang/>
              </w:rPr>
              <w:t>东吴新产业精选股票型证券投资基金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580008/011470</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color w:val="000000"/>
                <w:kern w:val="0"/>
                <w:szCs w:val="21"/>
                <w:lang/>
              </w:rPr>
            </w:pPr>
            <w:r>
              <w:rPr>
                <w:rFonts w:ascii="宋体" w:hAnsi="宋体" w:cs="宋体" w:hint="eastAsia"/>
                <w:szCs w:val="21"/>
                <w:lang/>
              </w:rPr>
              <w:t>东吴多策略灵活配置混合型证券投资基金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580009/011949</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color w:val="000000"/>
                <w:kern w:val="0"/>
                <w:szCs w:val="21"/>
                <w:lang/>
              </w:rPr>
            </w:pPr>
            <w:r>
              <w:rPr>
                <w:rFonts w:ascii="宋体" w:hAnsi="宋体" w:cs="宋体" w:hint="eastAsia"/>
                <w:szCs w:val="21"/>
                <w:lang/>
              </w:rPr>
              <w:t>东吴移动互联灵活配置混合型证券投资基金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001323/002170</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jc w:val="left"/>
              <w:textAlignment w:val="center"/>
              <w:rPr>
                <w:rFonts w:ascii="宋体" w:hAnsi="宋体" w:cs="宋体" w:hint="eastAsia"/>
                <w:color w:val="000000"/>
                <w:kern w:val="0"/>
                <w:szCs w:val="21"/>
                <w:lang/>
              </w:rPr>
            </w:pPr>
            <w:r>
              <w:rPr>
                <w:rFonts w:ascii="宋体" w:hAnsi="宋体" w:cs="宋体" w:hint="eastAsia"/>
                <w:szCs w:val="21"/>
                <w:lang/>
              </w:rPr>
              <w:t>东吴新趋势价值线灵活配置混合型证券投资基金</w:t>
            </w:r>
          </w:p>
        </w:tc>
        <w:tc>
          <w:tcPr>
            <w:tcW w:w="1602" w:type="dxa"/>
            <w:vAlign w:val="center"/>
          </w:tcPr>
          <w:p w:rsidR="00000000" w:rsidRDefault="009611A8">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 w:val="20"/>
                <w:szCs w:val="20"/>
                <w:lang/>
              </w:rPr>
              <w:t>001322</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color w:val="000000"/>
                <w:kern w:val="0"/>
                <w:szCs w:val="21"/>
                <w:lang/>
              </w:rPr>
            </w:pPr>
            <w:r>
              <w:rPr>
                <w:rFonts w:ascii="宋体" w:hAnsi="宋体" w:cs="宋体" w:hint="eastAsia"/>
                <w:szCs w:val="21"/>
                <w:lang/>
              </w:rPr>
              <w:t>东吴安盈量化灵活配置混合型证券投资基金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color w:val="000000"/>
                <w:kern w:val="0"/>
                <w:szCs w:val="21"/>
                <w:lang/>
              </w:rPr>
            </w:pPr>
            <w:r>
              <w:rPr>
                <w:rFonts w:ascii="宋体" w:hAnsi="宋体" w:cs="宋体" w:hint="eastAsia"/>
                <w:szCs w:val="21"/>
                <w:lang/>
              </w:rPr>
              <w:t>002270/015154</w:t>
            </w:r>
          </w:p>
        </w:tc>
      </w:tr>
      <w:tr w:rsidR="00000000">
        <w:trPr>
          <w:trHeight w:val="385"/>
          <w:jc w:val="center"/>
        </w:trPr>
        <w:tc>
          <w:tcPr>
            <w:tcW w:w="676" w:type="dxa"/>
          </w:tcPr>
          <w:p w:rsidR="00000000" w:rsidRDefault="009611A8">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color w:val="000000"/>
                <w:kern w:val="0"/>
                <w:szCs w:val="21"/>
                <w:lang/>
              </w:rPr>
            </w:pPr>
            <w:r>
              <w:rPr>
                <w:rFonts w:ascii="宋体" w:hAnsi="宋体" w:cs="宋体" w:hint="eastAsia"/>
                <w:szCs w:val="21"/>
                <w:lang/>
              </w:rPr>
              <w:t>东吴兴享成长混合型证券投资基金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010330/011462</w:t>
            </w:r>
          </w:p>
        </w:tc>
      </w:tr>
      <w:tr w:rsidR="00000000">
        <w:trPr>
          <w:trHeight w:val="385"/>
          <w:jc w:val="center"/>
        </w:trPr>
        <w:tc>
          <w:tcPr>
            <w:tcW w:w="676" w:type="dxa"/>
          </w:tcPr>
          <w:p w:rsidR="00000000" w:rsidRDefault="009611A8">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color w:val="000000"/>
                <w:kern w:val="0"/>
                <w:szCs w:val="21"/>
                <w:lang/>
              </w:rPr>
            </w:pPr>
            <w:r>
              <w:rPr>
                <w:rFonts w:ascii="宋体" w:hAnsi="宋体" w:cs="宋体" w:hint="eastAsia"/>
                <w:szCs w:val="21"/>
                <w:lang/>
              </w:rPr>
              <w:t>东吴新能源汽</w:t>
            </w:r>
            <w:r>
              <w:rPr>
                <w:rFonts w:ascii="宋体" w:hAnsi="宋体" w:cs="宋体" w:hint="eastAsia"/>
                <w:szCs w:val="21"/>
                <w:lang/>
              </w:rPr>
              <w:t>车股票型证券投资基金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spacing w:line="400" w:lineRule="exact"/>
              <w:jc w:val="left"/>
              <w:rPr>
                <w:rFonts w:ascii="宋体" w:hAnsi="宋体" w:cs="宋体"/>
                <w:color w:val="000000"/>
                <w:kern w:val="0"/>
                <w:szCs w:val="21"/>
                <w:lang/>
              </w:rPr>
            </w:pPr>
            <w:r>
              <w:rPr>
                <w:rFonts w:ascii="宋体" w:hAnsi="宋体" w:cs="宋体" w:hint="eastAsia"/>
                <w:szCs w:val="21"/>
                <w:lang/>
              </w:rPr>
              <w:t>014376/014377</w:t>
            </w:r>
          </w:p>
        </w:tc>
      </w:tr>
      <w:tr w:rsidR="00000000">
        <w:trPr>
          <w:trHeight w:val="385"/>
          <w:jc w:val="center"/>
        </w:trPr>
        <w:tc>
          <w:tcPr>
            <w:tcW w:w="676" w:type="dxa"/>
          </w:tcPr>
          <w:p w:rsidR="00000000" w:rsidRDefault="009611A8">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szCs w:val="21"/>
                <w:lang/>
              </w:rPr>
            </w:pPr>
            <w:r>
              <w:rPr>
                <w:rFonts w:ascii="宋体" w:hAnsi="宋体" w:cs="宋体" w:hint="eastAsia"/>
                <w:szCs w:val="21"/>
                <w:lang/>
              </w:rPr>
              <w:t>东吴兴弘一年持有期混合型证券投资基金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9611A8">
            <w:pPr>
              <w:widowControl/>
              <w:textAlignment w:val="center"/>
              <w:rPr>
                <w:rFonts w:ascii="宋体" w:hAnsi="宋体" w:cs="宋体"/>
                <w:szCs w:val="21"/>
                <w:lang/>
              </w:rPr>
            </w:pPr>
            <w:r>
              <w:rPr>
                <w:rFonts w:ascii="宋体" w:hAnsi="宋体" w:cs="宋体" w:hint="eastAsia"/>
                <w:szCs w:val="21"/>
                <w:lang/>
              </w:rPr>
              <w:t>016097/016098</w:t>
            </w:r>
          </w:p>
        </w:tc>
      </w:tr>
      <w:tr w:rsidR="00000000">
        <w:trPr>
          <w:trHeight w:val="385"/>
          <w:jc w:val="center"/>
        </w:trPr>
        <w:tc>
          <w:tcPr>
            <w:tcW w:w="676" w:type="dxa"/>
          </w:tcPr>
          <w:p w:rsidR="00000000" w:rsidRDefault="009611A8">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9611A8">
            <w:pPr>
              <w:widowControl/>
              <w:textAlignment w:val="center"/>
              <w:rPr>
                <w:rFonts w:ascii="宋体" w:hAnsi="宋体" w:cs="宋体" w:hint="eastAsia"/>
                <w:szCs w:val="21"/>
                <w:lang/>
              </w:rPr>
            </w:pPr>
            <w:r>
              <w:rPr>
                <w:rFonts w:ascii="宋体" w:hAnsi="宋体" w:cs="宋体" w:hint="eastAsia"/>
                <w:szCs w:val="21"/>
                <w:lang/>
              </w:rPr>
              <w:t>东吴科技创新混合型证券投资基金</w:t>
            </w:r>
            <w:r>
              <w:rPr>
                <w:rFonts w:ascii="宋体" w:hAnsi="宋体" w:cs="宋体" w:hint="eastAsia"/>
                <w:szCs w:val="21"/>
                <w:lang/>
              </w:rPr>
              <w:t>A</w:t>
            </w:r>
            <w:r>
              <w:rPr>
                <w:rFonts w:ascii="宋体" w:hAnsi="宋体" w:cs="宋体" w:hint="eastAsia"/>
                <w:szCs w:val="21"/>
                <w:lang/>
              </w:rPr>
              <w:t>类</w:t>
            </w:r>
          </w:p>
        </w:tc>
        <w:tc>
          <w:tcPr>
            <w:tcW w:w="1602" w:type="dxa"/>
            <w:vAlign w:val="center"/>
          </w:tcPr>
          <w:p w:rsidR="00000000" w:rsidRDefault="009611A8">
            <w:pPr>
              <w:widowControl/>
              <w:textAlignment w:val="center"/>
              <w:rPr>
                <w:rFonts w:ascii="宋体" w:hAnsi="宋体" w:cs="宋体"/>
                <w:szCs w:val="21"/>
                <w:lang/>
              </w:rPr>
            </w:pPr>
            <w:r>
              <w:rPr>
                <w:rFonts w:ascii="宋体" w:hAnsi="宋体" w:cs="宋体" w:hint="eastAsia"/>
                <w:szCs w:val="21"/>
                <w:lang/>
              </w:rPr>
              <w:t>020966</w:t>
            </w:r>
          </w:p>
        </w:tc>
      </w:tr>
    </w:tbl>
    <w:p w:rsidR="00000000" w:rsidRDefault="009611A8">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9611A8">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9611A8">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9611A8">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6</w:t>
      </w:r>
      <w:r>
        <w:rPr>
          <w:rFonts w:cs="宋体" w:hint="eastAsia"/>
          <w:szCs w:val="21"/>
        </w:rPr>
        <w:t>月</w:t>
      </w:r>
      <w:r>
        <w:rPr>
          <w:rFonts w:cs="宋体" w:hint="eastAsia"/>
          <w:szCs w:val="21"/>
        </w:rPr>
        <w:t>13</w:t>
      </w:r>
      <w:r>
        <w:rPr>
          <w:rFonts w:cs="宋体" w:hint="eastAsia"/>
          <w:szCs w:val="21"/>
        </w:rPr>
        <w:t>日</w:t>
      </w:r>
      <w:r>
        <w:rPr>
          <w:rFonts w:cs="宋体" w:hint="eastAsia"/>
          <w:szCs w:val="21"/>
        </w:rPr>
        <w:t>起开通</w:t>
      </w:r>
      <w:r>
        <w:rPr>
          <w:rFonts w:cs="宋体" w:hint="eastAsia"/>
          <w:szCs w:val="21"/>
        </w:rPr>
        <w:t>上述适用基金</w:t>
      </w:r>
      <w:r>
        <w:rPr>
          <w:rFonts w:cs="宋体" w:hint="eastAsia"/>
          <w:szCs w:val="21"/>
        </w:rPr>
        <w:t>在</w:t>
      </w:r>
      <w:r>
        <w:rPr>
          <w:rFonts w:cs="宋体" w:hint="eastAsia"/>
          <w:kern w:val="0"/>
          <w:szCs w:val="21"/>
        </w:rPr>
        <w:t>邮储银行</w:t>
      </w:r>
      <w:r>
        <w:rPr>
          <w:rFonts w:cs="宋体" w:hint="eastAsia"/>
          <w:szCs w:val="21"/>
        </w:rPr>
        <w:t>的定期定额投资业务</w:t>
      </w:r>
      <w:r>
        <w:rPr>
          <w:rFonts w:cs="宋体" w:hint="eastAsia"/>
          <w:szCs w:val="21"/>
        </w:rPr>
        <w:t>。</w:t>
      </w:r>
    </w:p>
    <w:p w:rsidR="00000000" w:rsidRDefault="009611A8">
      <w:pPr>
        <w:spacing w:line="360" w:lineRule="auto"/>
        <w:ind w:firstLineChars="200" w:firstLine="420"/>
        <w:rPr>
          <w:rFonts w:cs="宋体" w:hint="eastAsia"/>
          <w:szCs w:val="21"/>
        </w:rPr>
      </w:pPr>
      <w:r>
        <w:rPr>
          <w:rFonts w:cs="宋体" w:hint="eastAsia"/>
          <w:szCs w:val="21"/>
        </w:rPr>
        <w:t>“定期定额投资业务”是基金申</w:t>
      </w:r>
      <w:r>
        <w:rPr>
          <w:rFonts w:cs="宋体" w:hint="eastAsia"/>
          <w:szCs w:val="21"/>
        </w:rPr>
        <w:t>购业务的一种方式，投资者可以通过</w:t>
      </w:r>
      <w:r>
        <w:rPr>
          <w:rFonts w:cs="宋体" w:hint="eastAsia"/>
          <w:szCs w:val="21"/>
        </w:rPr>
        <w:t>邮储银行</w:t>
      </w:r>
      <w:r>
        <w:rPr>
          <w:rFonts w:cs="宋体" w:hint="eastAsia"/>
          <w:szCs w:val="21"/>
        </w:rPr>
        <w:t>提交申请，约定每期扣款时间、扣款金额及扣款方式，由</w:t>
      </w:r>
      <w:r>
        <w:rPr>
          <w:rFonts w:cs="宋体" w:hint="eastAsia"/>
          <w:szCs w:val="21"/>
        </w:rPr>
        <w:t>邮储银行</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及基金申购业务。投资者在办理基金“定期定额投资业务”的同时，仍</w:t>
      </w:r>
      <w:r>
        <w:rPr>
          <w:rFonts w:cs="宋体" w:hint="eastAsia"/>
          <w:szCs w:val="21"/>
        </w:rPr>
        <w:lastRenderedPageBreak/>
        <w:t>然可以进行日常申购、赎回业务。</w:t>
      </w:r>
    </w:p>
    <w:p w:rsidR="00000000" w:rsidRDefault="009611A8">
      <w:pPr>
        <w:spacing w:line="360" w:lineRule="auto"/>
        <w:ind w:firstLineChars="200" w:firstLine="420"/>
        <w:rPr>
          <w:rFonts w:cs="宋体" w:hint="eastAsia"/>
          <w:szCs w:val="21"/>
        </w:rPr>
      </w:pPr>
      <w:r>
        <w:rPr>
          <w:rFonts w:cs="宋体" w:hint="eastAsia"/>
          <w:szCs w:val="21"/>
        </w:rPr>
        <w:t>（一）适用投资者</w:t>
      </w:r>
    </w:p>
    <w:p w:rsidR="00000000" w:rsidRDefault="009611A8">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000000" w:rsidRDefault="009611A8">
      <w:pPr>
        <w:spacing w:line="360" w:lineRule="auto"/>
        <w:ind w:firstLineChars="200" w:firstLine="420"/>
        <w:rPr>
          <w:rFonts w:cs="宋体" w:hint="eastAsia"/>
          <w:szCs w:val="21"/>
        </w:rPr>
      </w:pPr>
      <w:r>
        <w:rPr>
          <w:rFonts w:cs="宋体" w:hint="eastAsia"/>
          <w:szCs w:val="21"/>
        </w:rPr>
        <w:t>（二）办理场所</w:t>
      </w:r>
    </w:p>
    <w:p w:rsidR="00000000" w:rsidRDefault="009611A8">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Pr>
          <w:rFonts w:cs="宋体" w:hint="eastAsia"/>
          <w:kern w:val="0"/>
          <w:szCs w:val="21"/>
        </w:rPr>
        <w:t>邮储银行</w:t>
      </w:r>
      <w:r>
        <w:rPr>
          <w:rFonts w:cs="宋体" w:hint="eastAsia"/>
          <w:kern w:val="0"/>
          <w:szCs w:val="21"/>
        </w:rPr>
        <w:t>交易系统</w:t>
      </w:r>
      <w:r>
        <w:rPr>
          <w:rFonts w:cs="宋体" w:hint="eastAsia"/>
          <w:szCs w:val="21"/>
        </w:rPr>
        <w:t>，办理“定期定额投资业务”申请。</w:t>
      </w:r>
    </w:p>
    <w:p w:rsidR="00000000" w:rsidRDefault="009611A8">
      <w:pPr>
        <w:spacing w:line="360" w:lineRule="auto"/>
        <w:ind w:firstLineChars="200" w:firstLine="420"/>
        <w:rPr>
          <w:rFonts w:cs="宋体" w:hint="eastAsia"/>
          <w:szCs w:val="21"/>
        </w:rPr>
      </w:pPr>
      <w:r>
        <w:rPr>
          <w:rFonts w:cs="宋体" w:hint="eastAsia"/>
          <w:szCs w:val="21"/>
        </w:rPr>
        <w:t>（三）办理方式</w:t>
      </w:r>
    </w:p>
    <w:p w:rsidR="00000000" w:rsidRDefault="009611A8">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邮储银行</w:t>
      </w:r>
      <w:r>
        <w:rPr>
          <w:rFonts w:cs="宋体" w:hint="eastAsia"/>
          <w:szCs w:val="21"/>
        </w:rPr>
        <w:t>直接开户</w:t>
      </w:r>
      <w:r>
        <w:rPr>
          <w:rFonts w:cs="宋体" w:hint="eastAsia"/>
          <w:szCs w:val="21"/>
        </w:rPr>
        <w:t>便可进行东吴基金定期定额投资业务。</w:t>
      </w:r>
    </w:p>
    <w:p w:rsidR="00000000" w:rsidRDefault="009611A8">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邮储银行</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000000" w:rsidRDefault="009611A8">
      <w:pPr>
        <w:spacing w:line="360" w:lineRule="auto"/>
        <w:ind w:firstLineChars="200" w:firstLine="420"/>
        <w:rPr>
          <w:rFonts w:cs="宋体" w:hint="eastAsia"/>
          <w:szCs w:val="21"/>
        </w:rPr>
      </w:pPr>
      <w:r>
        <w:rPr>
          <w:rFonts w:cs="宋体" w:hint="eastAsia"/>
          <w:szCs w:val="21"/>
        </w:rPr>
        <w:t>（四）办理时间</w:t>
      </w:r>
    </w:p>
    <w:p w:rsidR="00000000" w:rsidRDefault="009611A8">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9611A8">
      <w:pPr>
        <w:widowControl/>
        <w:spacing w:line="360" w:lineRule="auto"/>
        <w:ind w:firstLineChars="200" w:firstLine="420"/>
        <w:jc w:val="left"/>
        <w:rPr>
          <w:rFonts w:cs="宋体" w:hint="eastAsia"/>
          <w:szCs w:val="21"/>
        </w:rPr>
      </w:pPr>
      <w:r>
        <w:rPr>
          <w:rFonts w:cs="宋体" w:hint="eastAsia"/>
          <w:szCs w:val="21"/>
        </w:rPr>
        <w:t>（五）扣款金额</w:t>
      </w:r>
    </w:p>
    <w:p w:rsidR="00000000" w:rsidRDefault="009611A8">
      <w:pPr>
        <w:widowControl/>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邮储银行</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9611A8">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9611A8">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9611A8">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6</w:t>
      </w:r>
      <w:r>
        <w:rPr>
          <w:rFonts w:cs="宋体" w:hint="eastAsia"/>
          <w:szCs w:val="21"/>
        </w:rPr>
        <w:t>月</w:t>
      </w:r>
      <w:r>
        <w:rPr>
          <w:rFonts w:cs="宋体" w:hint="eastAsia"/>
          <w:szCs w:val="21"/>
        </w:rPr>
        <w:t>13</w:t>
      </w:r>
      <w:r>
        <w:rPr>
          <w:rFonts w:cs="宋体" w:hint="eastAsia"/>
          <w:szCs w:val="21"/>
        </w:rPr>
        <w:t>日</w:t>
      </w:r>
      <w:r>
        <w:rPr>
          <w:rFonts w:cs="宋体" w:hint="eastAsia"/>
          <w:szCs w:val="21"/>
        </w:rPr>
        <w:t>起同时在</w:t>
      </w:r>
      <w:r>
        <w:rPr>
          <w:rFonts w:cs="宋体" w:hint="eastAsia"/>
          <w:szCs w:val="21"/>
        </w:rPr>
        <w:t>邮储银行</w:t>
      </w:r>
      <w:r>
        <w:rPr>
          <w:rFonts w:cs="宋体" w:hint="eastAsia"/>
          <w:szCs w:val="21"/>
        </w:rPr>
        <w:t>开通</w:t>
      </w:r>
      <w:r>
        <w:rPr>
          <w:rFonts w:cs="宋体" w:hint="eastAsia"/>
          <w:szCs w:val="21"/>
          <w:lang/>
        </w:rPr>
        <w:t>上述适用基金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p>
    <w:p w:rsidR="00000000" w:rsidRDefault="009611A8">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9611A8">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9611A8">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9611A8">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交易所和深圳证券交易所交易日（本公司公告暂停转换时除外）。具体业务办理时间与基金日常申购业务时间相同。</w:t>
      </w:r>
    </w:p>
    <w:p w:rsidR="00000000" w:rsidRDefault="009611A8">
      <w:pPr>
        <w:spacing w:line="360" w:lineRule="auto"/>
        <w:ind w:firstLineChars="200" w:firstLine="420"/>
        <w:rPr>
          <w:rFonts w:cs="宋体" w:hint="eastAsia"/>
          <w:szCs w:val="21"/>
        </w:rPr>
      </w:pPr>
      <w:r>
        <w:rPr>
          <w:rFonts w:cs="宋体" w:hint="eastAsia"/>
          <w:szCs w:val="21"/>
        </w:rPr>
        <w:t>（三）基金转换业务规则</w:t>
      </w:r>
    </w:p>
    <w:p w:rsidR="00000000" w:rsidRDefault="009611A8">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9611A8">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9611A8">
      <w:pPr>
        <w:numPr>
          <w:ilvl w:val="0"/>
          <w:numId w:val="3"/>
        </w:num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9611A8">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lastRenderedPageBreak/>
        <w:t>1</w:t>
      </w:r>
      <w:r>
        <w:rPr>
          <w:rFonts w:cs="宋体" w:hint="eastAsia"/>
          <w:kern w:val="0"/>
          <w:szCs w:val="21"/>
        </w:rPr>
        <w:t>、中国邮政储蓄银行股份有限公司</w:t>
      </w:r>
    </w:p>
    <w:p w:rsidR="00000000" w:rsidRDefault="009611A8">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955</w:t>
      </w:r>
      <w:r>
        <w:rPr>
          <w:rFonts w:cs="宋体" w:hint="eastAsia"/>
          <w:kern w:val="0"/>
          <w:szCs w:val="21"/>
        </w:rPr>
        <w:t>80</w:t>
      </w:r>
    </w:p>
    <w:p w:rsidR="00000000" w:rsidRDefault="009611A8">
      <w:pPr>
        <w:spacing w:line="360" w:lineRule="auto"/>
        <w:ind w:firstLineChars="350" w:firstLine="735"/>
        <w:rPr>
          <w:rFonts w:cs="宋体" w:hint="eastAsia"/>
          <w:kern w:val="0"/>
          <w:szCs w:val="21"/>
        </w:rPr>
      </w:pPr>
      <w:r>
        <w:rPr>
          <w:rFonts w:cs="宋体" w:hint="eastAsia"/>
          <w:kern w:val="0"/>
          <w:szCs w:val="21"/>
        </w:rPr>
        <w:t>公司</w:t>
      </w:r>
      <w:r>
        <w:rPr>
          <w:rFonts w:cs="宋体" w:hint="eastAsia"/>
          <w:kern w:val="0"/>
          <w:szCs w:val="21"/>
        </w:rPr>
        <w:t>网址：</w:t>
      </w:r>
      <w:hyperlink r:id="rId5" w:history="1">
        <w:r>
          <w:rPr>
            <w:rFonts w:cs="宋体" w:hint="eastAsia"/>
            <w:kern w:val="0"/>
            <w:szCs w:val="21"/>
          </w:rPr>
          <w:t>www.psbc.com</w:t>
        </w:r>
      </w:hyperlink>
      <w:hyperlink r:id="rId6" w:history="1"/>
      <w:hyperlink r:id="rId7" w:tooltip="blocked::http://www.shzq.com/" w:history="1"/>
      <w:hyperlink r:id="rId8" w:history="1"/>
      <w:hyperlink r:id="rId9" w:history="1"/>
    </w:p>
    <w:p w:rsidR="00000000" w:rsidRDefault="009611A8">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w:t>
      </w:r>
      <w:r>
        <w:rPr>
          <w:rFonts w:cs="宋体" w:hint="eastAsia"/>
          <w:kern w:val="0"/>
          <w:szCs w:val="21"/>
        </w:rPr>
        <w:t>东吴基金管理有限</w:t>
      </w:r>
      <w:r>
        <w:rPr>
          <w:rFonts w:cs="宋体" w:hint="eastAsia"/>
          <w:kern w:val="0"/>
          <w:szCs w:val="21"/>
        </w:rPr>
        <w:t>公司</w:t>
      </w:r>
      <w:r>
        <w:rPr>
          <w:rFonts w:cs="宋体" w:hint="eastAsia"/>
          <w:kern w:val="0"/>
          <w:szCs w:val="21"/>
        </w:rPr>
        <w:t xml:space="preserve"> </w:t>
      </w:r>
    </w:p>
    <w:p w:rsidR="00000000" w:rsidRDefault="009611A8">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9611A8">
      <w:pPr>
        <w:spacing w:line="360" w:lineRule="auto"/>
        <w:ind w:firstLineChars="350" w:firstLine="735"/>
        <w:rPr>
          <w:rFonts w:cs="宋体" w:hint="eastAsia"/>
          <w:color w:val="000000"/>
          <w:kern w:val="0"/>
          <w:szCs w:val="21"/>
        </w:rPr>
      </w:pPr>
      <w:r>
        <w:rPr>
          <w:rFonts w:cs="宋体" w:hint="eastAsia"/>
          <w:kern w:val="0"/>
          <w:szCs w:val="21"/>
        </w:rPr>
        <w:t>公司网址：</w:t>
      </w:r>
      <w:hyperlink r:id="rId10" w:history="1">
        <w:r>
          <w:rPr>
            <w:rFonts w:cs="宋体" w:hint="eastAsia"/>
            <w:szCs w:val="21"/>
          </w:rPr>
          <w:t>www.scfund.com.cn</w:t>
        </w:r>
      </w:hyperlink>
    </w:p>
    <w:p w:rsidR="00000000" w:rsidRDefault="009611A8">
      <w:pPr>
        <w:spacing w:line="360" w:lineRule="auto"/>
        <w:ind w:firstLineChars="200" w:firstLine="420"/>
        <w:rPr>
          <w:rFonts w:cs="宋体" w:hint="eastAsia"/>
          <w:color w:val="000000"/>
          <w:kern w:val="0"/>
          <w:szCs w:val="21"/>
        </w:rPr>
      </w:pPr>
    </w:p>
    <w:p w:rsidR="00000000" w:rsidRDefault="009611A8">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9611A8">
      <w:pPr>
        <w:spacing w:line="360" w:lineRule="auto"/>
        <w:ind w:firstLineChars="200" w:firstLine="420"/>
        <w:rPr>
          <w:rFonts w:cs="宋体" w:hint="eastAsia"/>
          <w:szCs w:val="21"/>
        </w:rPr>
      </w:pPr>
      <w:r>
        <w:rPr>
          <w:rFonts w:cs="宋体" w:hint="eastAsia"/>
          <w:szCs w:val="21"/>
        </w:rPr>
        <w:t>本公司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w:t>
      </w:r>
      <w:r>
        <w:rPr>
          <w:rFonts w:cs="宋体" w:hint="eastAsia"/>
          <w:szCs w:val="21"/>
        </w:rPr>
        <w:t>也不是替代储蓄的等效理财方式。敬请投资者在投资基金前认真阅读《基金合同》、《招募说明书》、《产品资料概要》等基金法律文件，了解基金的风险收益特征，并根据自身的风险承受能力选择适合自己的基金产品，敬请投资者留意投资风险。</w:t>
      </w:r>
    </w:p>
    <w:p w:rsidR="00000000" w:rsidRDefault="009611A8">
      <w:pPr>
        <w:spacing w:line="360" w:lineRule="auto"/>
        <w:rPr>
          <w:rFonts w:cs="宋体" w:hint="eastAsia"/>
          <w:szCs w:val="21"/>
        </w:rPr>
      </w:pPr>
      <w:r>
        <w:rPr>
          <w:rFonts w:cs="宋体" w:hint="eastAsia"/>
          <w:szCs w:val="21"/>
        </w:rPr>
        <w:t xml:space="preserve">    </w:t>
      </w:r>
    </w:p>
    <w:p w:rsidR="00000000" w:rsidRDefault="009611A8">
      <w:pPr>
        <w:spacing w:line="360" w:lineRule="auto"/>
        <w:ind w:firstLineChars="200" w:firstLine="420"/>
        <w:rPr>
          <w:rFonts w:cs="宋体" w:hint="eastAsia"/>
          <w:szCs w:val="21"/>
        </w:rPr>
      </w:pPr>
      <w:r>
        <w:rPr>
          <w:rFonts w:cs="宋体" w:hint="eastAsia"/>
          <w:szCs w:val="21"/>
        </w:rPr>
        <w:t xml:space="preserve"> </w:t>
      </w:r>
      <w:r>
        <w:rPr>
          <w:rFonts w:cs="宋体" w:hint="eastAsia"/>
          <w:szCs w:val="21"/>
        </w:rPr>
        <w:t>特此公告。</w:t>
      </w:r>
      <w:r>
        <w:rPr>
          <w:rFonts w:cs="宋体" w:hint="eastAsia"/>
          <w:szCs w:val="21"/>
        </w:rPr>
        <w:t xml:space="preserve"> </w:t>
      </w:r>
    </w:p>
    <w:p w:rsidR="00000000" w:rsidRDefault="009611A8">
      <w:pPr>
        <w:spacing w:line="400" w:lineRule="exact"/>
        <w:jc w:val="right"/>
        <w:rPr>
          <w:rFonts w:cs="宋体" w:hint="eastAsia"/>
          <w:szCs w:val="21"/>
        </w:rPr>
      </w:pPr>
      <w:r>
        <w:rPr>
          <w:rFonts w:cs="宋体" w:hint="eastAsia"/>
          <w:szCs w:val="21"/>
        </w:rPr>
        <w:t xml:space="preserve">                                     </w:t>
      </w:r>
    </w:p>
    <w:p w:rsidR="00000000" w:rsidRDefault="009611A8">
      <w:pPr>
        <w:spacing w:line="400" w:lineRule="exact"/>
        <w:jc w:val="right"/>
        <w:rPr>
          <w:rFonts w:cs="宋体" w:hint="eastAsia"/>
          <w:szCs w:val="21"/>
        </w:rPr>
      </w:pPr>
    </w:p>
    <w:p w:rsidR="00000000" w:rsidRDefault="009611A8">
      <w:pPr>
        <w:spacing w:line="400" w:lineRule="exact"/>
        <w:jc w:val="right"/>
        <w:rPr>
          <w:rFonts w:cs="宋体" w:hint="eastAsia"/>
          <w:szCs w:val="21"/>
        </w:rPr>
      </w:pPr>
      <w:r>
        <w:rPr>
          <w:rFonts w:cs="宋体" w:hint="eastAsia"/>
          <w:szCs w:val="21"/>
        </w:rPr>
        <w:t>东吴基金管理有限公司</w:t>
      </w:r>
    </w:p>
    <w:p w:rsidR="00000000" w:rsidRDefault="009611A8">
      <w:pPr>
        <w:spacing w:line="400" w:lineRule="exact"/>
        <w:jc w:val="center"/>
        <w:rPr>
          <w:rFonts w:cs="宋体" w:hint="eastAsia"/>
          <w:szCs w:val="21"/>
        </w:rPr>
      </w:pPr>
      <w:r>
        <w:rPr>
          <w:rFonts w:cs="宋体" w:hint="eastAsia"/>
          <w:szCs w:val="21"/>
        </w:rPr>
        <w:t xml:space="preserve">                                                            2025</w:t>
      </w:r>
      <w:r>
        <w:rPr>
          <w:rFonts w:cs="宋体" w:hint="eastAsia"/>
          <w:szCs w:val="21"/>
        </w:rPr>
        <w:t>年</w:t>
      </w:r>
      <w:r>
        <w:rPr>
          <w:rFonts w:cs="宋体" w:hint="eastAsia"/>
          <w:szCs w:val="21"/>
        </w:rPr>
        <w:t>6</w:t>
      </w:r>
      <w:r>
        <w:rPr>
          <w:rFonts w:cs="宋体" w:hint="eastAsia"/>
          <w:szCs w:val="21"/>
        </w:rPr>
        <w:t>月</w:t>
      </w:r>
      <w:r>
        <w:rPr>
          <w:rFonts w:cs="宋体" w:hint="eastAsia"/>
          <w:szCs w:val="21"/>
        </w:rPr>
        <w:t>12</w:t>
      </w:r>
      <w:r>
        <w:rPr>
          <w:rFonts w:cs="宋体" w:hint="eastAsia"/>
          <w:szCs w:val="21"/>
        </w:rPr>
        <w:t>日</w:t>
      </w:r>
    </w:p>
    <w:p w:rsidR="00000000" w:rsidRDefault="009611A8"/>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90836"/>
    <w:multiLevelType w:val="singleLevel"/>
    <w:tmpl w:val="81A90836"/>
    <w:lvl w:ilvl="0">
      <w:start w:val="4"/>
      <w:numFmt w:val="chineseCounting"/>
      <w:suff w:val="nothing"/>
      <w:lvlText w:val="%1、"/>
      <w:lvlJc w:val="left"/>
      <w:rPr>
        <w:rFonts w:hint="eastAsia"/>
      </w:rPr>
    </w:lvl>
  </w:abstractNum>
  <w:abstractNum w:abstractNumId="1">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E28EE34"/>
    <w:multiLevelType w:val="singleLevel"/>
    <w:tmpl w:val="5E28EE34"/>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611A8"/>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5E6EF2"/>
    <w:rsid w:val="028E4041"/>
    <w:rsid w:val="02A9126A"/>
    <w:rsid w:val="02AC2AD9"/>
    <w:rsid w:val="02C4633C"/>
    <w:rsid w:val="02FE7A2C"/>
    <w:rsid w:val="03164509"/>
    <w:rsid w:val="037B608B"/>
    <w:rsid w:val="03900D70"/>
    <w:rsid w:val="03BF4636"/>
    <w:rsid w:val="043833BC"/>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A3905"/>
    <w:rsid w:val="0CFC7345"/>
    <w:rsid w:val="0D240982"/>
    <w:rsid w:val="0D781E29"/>
    <w:rsid w:val="0E345530"/>
    <w:rsid w:val="0E947D89"/>
    <w:rsid w:val="0F2D2C5D"/>
    <w:rsid w:val="0F304F86"/>
    <w:rsid w:val="0F420568"/>
    <w:rsid w:val="0F4A6B73"/>
    <w:rsid w:val="0F5A6124"/>
    <w:rsid w:val="0FCE7E58"/>
    <w:rsid w:val="103852DA"/>
    <w:rsid w:val="103D7A7A"/>
    <w:rsid w:val="10AF4A06"/>
    <w:rsid w:val="10EA5DD8"/>
    <w:rsid w:val="10ED011B"/>
    <w:rsid w:val="11252F1A"/>
    <w:rsid w:val="117D03B7"/>
    <w:rsid w:val="1199174F"/>
    <w:rsid w:val="11D35ECA"/>
    <w:rsid w:val="121B17A1"/>
    <w:rsid w:val="12260115"/>
    <w:rsid w:val="126C35C1"/>
    <w:rsid w:val="12A80A9A"/>
    <w:rsid w:val="12ED0AC1"/>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B2E3C"/>
    <w:rsid w:val="16CB1DD4"/>
    <w:rsid w:val="16E41E49"/>
    <w:rsid w:val="176C38A0"/>
    <w:rsid w:val="17837E4E"/>
    <w:rsid w:val="17AB4629"/>
    <w:rsid w:val="17F654E3"/>
    <w:rsid w:val="1808590F"/>
    <w:rsid w:val="183F3F70"/>
    <w:rsid w:val="185A6A58"/>
    <w:rsid w:val="18723695"/>
    <w:rsid w:val="18AC5BF4"/>
    <w:rsid w:val="18B358E3"/>
    <w:rsid w:val="18C748B7"/>
    <w:rsid w:val="19502AFF"/>
    <w:rsid w:val="196E49C7"/>
    <w:rsid w:val="19AE35ED"/>
    <w:rsid w:val="1A0B0B52"/>
    <w:rsid w:val="1A4100CF"/>
    <w:rsid w:val="1A9B556D"/>
    <w:rsid w:val="1B7D7FE3"/>
    <w:rsid w:val="1BD41A17"/>
    <w:rsid w:val="1BED5CE0"/>
    <w:rsid w:val="1C3152AF"/>
    <w:rsid w:val="1C320D13"/>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6D42FC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944F41"/>
    <w:rsid w:val="2AA32102"/>
    <w:rsid w:val="2AAE6793"/>
    <w:rsid w:val="2B382728"/>
    <w:rsid w:val="2B5C6850"/>
    <w:rsid w:val="2B8A529A"/>
    <w:rsid w:val="2BAA0794"/>
    <w:rsid w:val="2BAD2685"/>
    <w:rsid w:val="2BC43604"/>
    <w:rsid w:val="2C445CD5"/>
    <w:rsid w:val="2C957B69"/>
    <w:rsid w:val="2CA653A9"/>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B03454"/>
    <w:rsid w:val="39A04924"/>
    <w:rsid w:val="39E949C6"/>
    <w:rsid w:val="39F5319F"/>
    <w:rsid w:val="39FB0130"/>
    <w:rsid w:val="3A0D111F"/>
    <w:rsid w:val="3A0D38CD"/>
    <w:rsid w:val="3A387FA7"/>
    <w:rsid w:val="3A4C3187"/>
    <w:rsid w:val="3A88044D"/>
    <w:rsid w:val="3AD30201"/>
    <w:rsid w:val="3B2E782F"/>
    <w:rsid w:val="3B893F22"/>
    <w:rsid w:val="3BCF2D0F"/>
    <w:rsid w:val="3C44454F"/>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B7B27"/>
    <w:rsid w:val="40ED1605"/>
    <w:rsid w:val="411C46C3"/>
    <w:rsid w:val="412133EB"/>
    <w:rsid w:val="414B2DA0"/>
    <w:rsid w:val="41F017A8"/>
    <w:rsid w:val="423544BC"/>
    <w:rsid w:val="425828A0"/>
    <w:rsid w:val="42786324"/>
    <w:rsid w:val="42D52A3F"/>
    <w:rsid w:val="42F17050"/>
    <w:rsid w:val="431369E3"/>
    <w:rsid w:val="436A00A2"/>
    <w:rsid w:val="4399457F"/>
    <w:rsid w:val="443C6B00"/>
    <w:rsid w:val="445157F9"/>
    <w:rsid w:val="44676143"/>
    <w:rsid w:val="44794D63"/>
    <w:rsid w:val="44D067D1"/>
    <w:rsid w:val="44E670C8"/>
    <w:rsid w:val="450528D3"/>
    <w:rsid w:val="453E3F7B"/>
    <w:rsid w:val="4572211D"/>
    <w:rsid w:val="46692B10"/>
    <w:rsid w:val="467C28B2"/>
    <w:rsid w:val="46924683"/>
    <w:rsid w:val="46B05CA5"/>
    <w:rsid w:val="473A5625"/>
    <w:rsid w:val="476F114B"/>
    <w:rsid w:val="47C02C46"/>
    <w:rsid w:val="47C17D67"/>
    <w:rsid w:val="48463A92"/>
    <w:rsid w:val="488515F1"/>
    <w:rsid w:val="489354A0"/>
    <w:rsid w:val="49083735"/>
    <w:rsid w:val="490F7BDD"/>
    <w:rsid w:val="49B758A3"/>
    <w:rsid w:val="4A18225E"/>
    <w:rsid w:val="4A8E51ED"/>
    <w:rsid w:val="4AAF17BC"/>
    <w:rsid w:val="4AFB1112"/>
    <w:rsid w:val="4C2F6420"/>
    <w:rsid w:val="4C8C3A8E"/>
    <w:rsid w:val="4D0C302C"/>
    <w:rsid w:val="4D473B61"/>
    <w:rsid w:val="4E053C46"/>
    <w:rsid w:val="4E13044B"/>
    <w:rsid w:val="4E1E499E"/>
    <w:rsid w:val="4E2906CE"/>
    <w:rsid w:val="4EC201C3"/>
    <w:rsid w:val="4F1C2EFD"/>
    <w:rsid w:val="4F691C56"/>
    <w:rsid w:val="4FA249DE"/>
    <w:rsid w:val="4FD81752"/>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BD677F"/>
    <w:rsid w:val="57564D00"/>
    <w:rsid w:val="57755916"/>
    <w:rsid w:val="5794651A"/>
    <w:rsid w:val="57BD2906"/>
    <w:rsid w:val="57EC095E"/>
    <w:rsid w:val="580F7213"/>
    <w:rsid w:val="58310C72"/>
    <w:rsid w:val="58BB67A0"/>
    <w:rsid w:val="58DA0FD3"/>
    <w:rsid w:val="58F65C68"/>
    <w:rsid w:val="58FD4074"/>
    <w:rsid w:val="58FF5142"/>
    <w:rsid w:val="5923594F"/>
    <w:rsid w:val="59391735"/>
    <w:rsid w:val="596E70E3"/>
    <w:rsid w:val="59C33488"/>
    <w:rsid w:val="5A131408"/>
    <w:rsid w:val="5A2B49EC"/>
    <w:rsid w:val="5A5E5E28"/>
    <w:rsid w:val="5A6F1F2F"/>
    <w:rsid w:val="5A765101"/>
    <w:rsid w:val="5A9F0071"/>
    <w:rsid w:val="5AF57022"/>
    <w:rsid w:val="5B524A71"/>
    <w:rsid w:val="5B6C4405"/>
    <w:rsid w:val="5B850857"/>
    <w:rsid w:val="5B9E2DB8"/>
    <w:rsid w:val="5BA33C64"/>
    <w:rsid w:val="5BE71D34"/>
    <w:rsid w:val="5BED401D"/>
    <w:rsid w:val="5BF159D4"/>
    <w:rsid w:val="5C0E2860"/>
    <w:rsid w:val="5C712910"/>
    <w:rsid w:val="5C992924"/>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9309E8"/>
    <w:rsid w:val="68FC32F2"/>
    <w:rsid w:val="69A07404"/>
    <w:rsid w:val="69E95778"/>
    <w:rsid w:val="6A596387"/>
    <w:rsid w:val="6A732B77"/>
    <w:rsid w:val="6AA55DB5"/>
    <w:rsid w:val="6AC975E8"/>
    <w:rsid w:val="6AE83011"/>
    <w:rsid w:val="6B3016EB"/>
    <w:rsid w:val="6B722607"/>
    <w:rsid w:val="6BA2466A"/>
    <w:rsid w:val="6BBB6AAD"/>
    <w:rsid w:val="6C50732E"/>
    <w:rsid w:val="6C7E270E"/>
    <w:rsid w:val="6C8860A9"/>
    <w:rsid w:val="6C9768B4"/>
    <w:rsid w:val="6CA61A3A"/>
    <w:rsid w:val="6CC60CEF"/>
    <w:rsid w:val="6D267968"/>
    <w:rsid w:val="6DB15CE3"/>
    <w:rsid w:val="6DCF7A62"/>
    <w:rsid w:val="6E044B8A"/>
    <w:rsid w:val="6E0C35E8"/>
    <w:rsid w:val="6EB448FD"/>
    <w:rsid w:val="6F383D07"/>
    <w:rsid w:val="6F421085"/>
    <w:rsid w:val="6FC714F2"/>
    <w:rsid w:val="6FF414D4"/>
    <w:rsid w:val="700746B2"/>
    <w:rsid w:val="70077DE7"/>
    <w:rsid w:val="706C7FA2"/>
    <w:rsid w:val="70845812"/>
    <w:rsid w:val="70E37F8D"/>
    <w:rsid w:val="71127BA2"/>
    <w:rsid w:val="713E488C"/>
    <w:rsid w:val="7187084F"/>
    <w:rsid w:val="718F50E7"/>
    <w:rsid w:val="71FB5066"/>
    <w:rsid w:val="72165F65"/>
    <w:rsid w:val="72181581"/>
    <w:rsid w:val="72262C1C"/>
    <w:rsid w:val="726F6D4C"/>
    <w:rsid w:val="72835E6E"/>
    <w:rsid w:val="72B30DC7"/>
    <w:rsid w:val="73975252"/>
    <w:rsid w:val="73BB1804"/>
    <w:rsid w:val="73F12CD0"/>
    <w:rsid w:val="73FD2CDB"/>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5A5208"/>
    <w:rsid w:val="795D3C37"/>
    <w:rsid w:val="79833C7C"/>
    <w:rsid w:val="79C91A00"/>
    <w:rsid w:val="79DB41C3"/>
    <w:rsid w:val="79EE3760"/>
    <w:rsid w:val="7A3D23EC"/>
    <w:rsid w:val="7A5709DC"/>
    <w:rsid w:val="7A8F4748"/>
    <w:rsid w:val="7A9629B0"/>
    <w:rsid w:val="7ACB744D"/>
    <w:rsid w:val="7AD832E2"/>
    <w:rsid w:val="7B3E4593"/>
    <w:rsid w:val="7B533629"/>
    <w:rsid w:val="7B9F358C"/>
    <w:rsid w:val="7BC6770E"/>
    <w:rsid w:val="7C1D1B1D"/>
    <w:rsid w:val="7C271FE0"/>
    <w:rsid w:val="7C464660"/>
    <w:rsid w:val="7CE03CA6"/>
    <w:rsid w:val="7D0801C2"/>
    <w:rsid w:val="7D3B2EE5"/>
    <w:rsid w:val="7D450D50"/>
    <w:rsid w:val="7D6E64F9"/>
    <w:rsid w:val="7DA60233"/>
    <w:rsid w:val="7DE92D15"/>
    <w:rsid w:val="7E1150D6"/>
    <w:rsid w:val="7E1A4758"/>
    <w:rsid w:val="7E4159BB"/>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caimofang.cn/" TargetMode="External"/><Relationship Id="rId3" Type="http://schemas.openxmlformats.org/officeDocument/2006/relationships/settings" Target="settings.xml"/><Relationship Id="rId7" Type="http://schemas.openxmlformats.org/officeDocument/2006/relationships/hyperlink" Target="http://www.shz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66liantai.com" TargetMode="External"/><Relationship Id="rId11" Type="http://schemas.openxmlformats.org/officeDocument/2006/relationships/fontTable" Target="fontTable.xml"/><Relationship Id="rId5" Type="http://schemas.openxmlformats.org/officeDocument/2006/relationships/hyperlink" Target="http://www.psbc.com" TargetMode="External"/><Relationship Id="rId10" Type="http://schemas.openxmlformats.org/officeDocument/2006/relationships/hyperlink" Target="http://www.scfund.com.cn" TargetMode="External"/><Relationship Id="rId4" Type="http://schemas.openxmlformats.org/officeDocument/2006/relationships/webSettings" Target="webSettings.xml"/><Relationship Id="rId9" Type="http://schemas.openxmlformats.org/officeDocument/2006/relationships/hyperlink" Target="http://www.hgccp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1951</Characters>
  <Application>Microsoft Office Word</Application>
  <DocSecurity>4</DocSecurity>
  <PresentationFormat/>
  <Lines>16</Lines>
  <Paragraphs>4</Paragraphs>
  <Slides>0</Slides>
  <Notes>0</Notes>
  <HiddenSlides>0</HiddenSlides>
  <MMClips>0</MMClips>
  <ScaleCrop>false</ScaleCrop>
  <Manager/>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东吴基金管理有限公司关于旗下部分基金新增中国邮政储蓄银行股份有限公司为代销机构、开通定期定额投资及转换业务的公告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2025-06-11T16:01:00Z</dcterms:created>
  <dcterms:modified xsi:type="dcterms:W3CDTF">2025-06-11T16:01:00Z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55E953A9BC404224AC178D9AA5622DAC_13</vt:lpwstr>
  </property>
</Properties>
</file>