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4C" w:rsidRDefault="00D41D37">
      <w:pPr>
        <w:pStyle w:val="1"/>
      </w:pPr>
      <w:r>
        <w:rPr>
          <w:rFonts w:hint="eastAsia"/>
        </w:rPr>
        <w:t>上海国泰君安证券资产管理有限公司关于旗下基金持有停牌股票估值调整的公告</w:t>
      </w:r>
    </w:p>
    <w:p w:rsidR="00F7574C" w:rsidRDefault="00D41D37">
      <w:pPr>
        <w:ind w:firstLineChars="200" w:firstLine="560"/>
        <w:rPr>
          <w:sz w:val="28"/>
          <w:szCs w:val="28"/>
        </w:rPr>
      </w:pPr>
      <w:r>
        <w:rPr>
          <w:rFonts w:hint="eastAsia"/>
          <w:sz w:val="28"/>
          <w:szCs w:val="28"/>
        </w:rPr>
        <w:t>根据《中国证监会关于证券投资基金估值业务的指导意见》</w:t>
      </w:r>
      <w:r>
        <w:rPr>
          <w:rFonts w:hint="eastAsia"/>
          <w:sz w:val="28"/>
          <w:szCs w:val="28"/>
        </w:rPr>
        <w:t>(</w:t>
      </w:r>
      <w:r>
        <w:rPr>
          <w:rFonts w:hint="eastAsia"/>
          <w:sz w:val="28"/>
          <w:szCs w:val="28"/>
        </w:rPr>
        <w:t>中国证券监督管理委员会公告</w:t>
      </w:r>
      <w:r>
        <w:rPr>
          <w:rFonts w:hint="eastAsia"/>
          <w:sz w:val="28"/>
          <w:szCs w:val="28"/>
        </w:rPr>
        <w:t>[2017]13</w:t>
      </w:r>
      <w:r>
        <w:rPr>
          <w:rFonts w:hint="eastAsia"/>
          <w:sz w:val="28"/>
          <w:szCs w:val="28"/>
        </w:rPr>
        <w:t>号</w:t>
      </w:r>
      <w:r>
        <w:rPr>
          <w:rFonts w:hint="eastAsia"/>
          <w:sz w:val="28"/>
          <w:szCs w:val="28"/>
        </w:rPr>
        <w:t>)</w:t>
      </w:r>
      <w:r>
        <w:rPr>
          <w:rFonts w:hint="eastAsia"/>
          <w:sz w:val="28"/>
          <w:szCs w:val="28"/>
        </w:rPr>
        <w:t>等有关规定，经与基金托管人协商一致，自</w:t>
      </w:r>
      <w:r>
        <w:rPr>
          <w:rFonts w:hint="eastAsia"/>
          <w:sz w:val="28"/>
          <w:szCs w:val="28"/>
        </w:rPr>
        <w:t>2025</w:t>
      </w:r>
      <w:r>
        <w:rPr>
          <w:rFonts w:hint="eastAsia"/>
          <w:sz w:val="28"/>
          <w:szCs w:val="28"/>
        </w:rPr>
        <w:t>年</w:t>
      </w:r>
      <w:r>
        <w:rPr>
          <w:rFonts w:hint="eastAsia"/>
          <w:sz w:val="28"/>
          <w:szCs w:val="28"/>
        </w:rPr>
        <w:t>6</w:t>
      </w:r>
      <w:r>
        <w:rPr>
          <w:rFonts w:hint="eastAsia"/>
          <w:sz w:val="28"/>
          <w:szCs w:val="28"/>
        </w:rPr>
        <w:t>月</w:t>
      </w:r>
      <w:r>
        <w:rPr>
          <w:rFonts w:hint="eastAsia"/>
          <w:sz w:val="28"/>
          <w:szCs w:val="28"/>
        </w:rPr>
        <w:t>9</w:t>
      </w:r>
      <w:r>
        <w:rPr>
          <w:rFonts w:hint="eastAsia"/>
          <w:sz w:val="28"/>
          <w:szCs w:val="28"/>
        </w:rPr>
        <w:t>日起，上海国泰君安证券资产管理有限公司对旗下证券投资基金所持有的“海光信息</w:t>
      </w:r>
      <w:r>
        <w:rPr>
          <w:rFonts w:hint="eastAsia"/>
          <w:sz w:val="28"/>
          <w:szCs w:val="28"/>
        </w:rPr>
        <w:t>(</w:t>
      </w:r>
      <w:r>
        <w:rPr>
          <w:rFonts w:hint="eastAsia"/>
          <w:sz w:val="28"/>
          <w:szCs w:val="28"/>
        </w:rPr>
        <w:t>代码</w:t>
      </w:r>
      <w:r>
        <w:rPr>
          <w:rFonts w:hint="eastAsia"/>
          <w:sz w:val="28"/>
          <w:szCs w:val="28"/>
        </w:rPr>
        <w:t>:688041)</w:t>
      </w:r>
      <w:r>
        <w:rPr>
          <w:rFonts w:hint="eastAsia"/>
          <w:sz w:val="28"/>
          <w:szCs w:val="28"/>
        </w:rPr>
        <w:t>”采用“指数收益法”予以估值。</w:t>
      </w:r>
    </w:p>
    <w:p w:rsidR="00F7574C" w:rsidRDefault="00D41D37">
      <w:pPr>
        <w:ind w:firstLineChars="200" w:firstLine="560"/>
        <w:rPr>
          <w:sz w:val="28"/>
          <w:szCs w:val="28"/>
        </w:rPr>
      </w:pPr>
      <w:r>
        <w:rPr>
          <w:rFonts w:hint="eastAsia"/>
          <w:sz w:val="28"/>
          <w:szCs w:val="28"/>
        </w:rPr>
        <w:t>待上述股票复牌且其交易体现了活跃市场交易特征后</w:t>
      </w:r>
      <w:r>
        <w:rPr>
          <w:rFonts w:hint="eastAsia"/>
          <w:sz w:val="28"/>
          <w:szCs w:val="28"/>
        </w:rPr>
        <w:t>,</w:t>
      </w:r>
      <w:r>
        <w:rPr>
          <w:rFonts w:hint="eastAsia"/>
          <w:sz w:val="28"/>
          <w:szCs w:val="28"/>
        </w:rPr>
        <w:t>将恢复采用当日收盘价格进行估值，届时将不再另行公告。</w:t>
      </w:r>
    </w:p>
    <w:p w:rsidR="00F7574C" w:rsidRDefault="00D41D37">
      <w:pPr>
        <w:ind w:firstLineChars="200" w:firstLine="560"/>
        <w:rPr>
          <w:sz w:val="28"/>
          <w:szCs w:val="28"/>
        </w:rPr>
      </w:pPr>
      <w:r>
        <w:rPr>
          <w:rFonts w:hint="eastAsia"/>
          <w:sz w:val="28"/>
          <w:szCs w:val="28"/>
        </w:rPr>
        <w:t>特此公告。</w:t>
      </w:r>
      <w:bookmarkStart w:id="0" w:name="_GoBack"/>
      <w:bookmarkEnd w:id="0"/>
    </w:p>
    <w:p w:rsidR="00F7574C" w:rsidRDefault="00F7574C">
      <w:pPr>
        <w:ind w:firstLineChars="1200" w:firstLine="3360"/>
        <w:rPr>
          <w:sz w:val="28"/>
          <w:szCs w:val="28"/>
        </w:rPr>
      </w:pPr>
    </w:p>
    <w:p w:rsidR="00F7574C" w:rsidRDefault="00F7574C">
      <w:pPr>
        <w:ind w:firstLineChars="1200" w:firstLine="3360"/>
        <w:rPr>
          <w:sz w:val="28"/>
          <w:szCs w:val="28"/>
        </w:rPr>
      </w:pPr>
    </w:p>
    <w:p w:rsidR="00F7574C" w:rsidRDefault="00D41D37">
      <w:pPr>
        <w:ind w:firstLineChars="1200" w:firstLine="3360"/>
        <w:rPr>
          <w:sz w:val="28"/>
          <w:szCs w:val="28"/>
        </w:rPr>
      </w:pPr>
      <w:r>
        <w:rPr>
          <w:rFonts w:hint="eastAsia"/>
          <w:sz w:val="28"/>
          <w:szCs w:val="28"/>
        </w:rPr>
        <w:t>上海国泰君安证券资产管理有限公司</w:t>
      </w:r>
    </w:p>
    <w:p w:rsidR="00F7574C" w:rsidRDefault="00D41D37">
      <w:pPr>
        <w:ind w:firstLineChars="2000" w:firstLine="5600"/>
        <w:rPr>
          <w:sz w:val="28"/>
          <w:szCs w:val="28"/>
        </w:rPr>
      </w:pPr>
      <w:r>
        <w:rPr>
          <w:rFonts w:hint="eastAsia"/>
          <w:sz w:val="28"/>
          <w:szCs w:val="28"/>
        </w:rPr>
        <w:t>2025</w:t>
      </w:r>
      <w:r>
        <w:rPr>
          <w:rFonts w:hint="eastAsia"/>
          <w:sz w:val="28"/>
          <w:szCs w:val="28"/>
        </w:rPr>
        <w:t>年</w:t>
      </w:r>
      <w:r>
        <w:rPr>
          <w:rFonts w:hint="eastAsia"/>
          <w:sz w:val="28"/>
          <w:szCs w:val="28"/>
        </w:rPr>
        <w:t>6</w:t>
      </w:r>
      <w:r>
        <w:rPr>
          <w:rFonts w:hint="eastAsia"/>
          <w:sz w:val="28"/>
          <w:szCs w:val="28"/>
        </w:rPr>
        <w:t>月</w:t>
      </w:r>
      <w:r>
        <w:rPr>
          <w:rFonts w:hint="eastAsia"/>
          <w:sz w:val="28"/>
          <w:szCs w:val="28"/>
        </w:rPr>
        <w:t>11</w:t>
      </w:r>
      <w:r>
        <w:rPr>
          <w:rFonts w:hint="eastAsia"/>
          <w:sz w:val="28"/>
          <w:szCs w:val="28"/>
        </w:rPr>
        <w:t>日</w:t>
      </w:r>
    </w:p>
    <w:sectPr w:rsidR="00F7574C" w:rsidSect="00F7574C">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4C" w:rsidRDefault="00F7574C" w:rsidP="00F7574C">
      <w:r>
        <w:separator/>
      </w:r>
    </w:p>
  </w:endnote>
  <w:endnote w:type="continuationSeparator" w:id="0">
    <w:p w:rsidR="00F7574C" w:rsidRDefault="00F7574C" w:rsidP="00F757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4C" w:rsidRDefault="00F7574C" w:rsidP="00F7574C">
      <w:r>
        <w:separator/>
      </w:r>
    </w:p>
  </w:footnote>
  <w:footnote w:type="continuationSeparator" w:id="0">
    <w:p w:rsidR="00F7574C" w:rsidRDefault="00F7574C" w:rsidP="00F75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C" w:rsidRDefault="00F757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C" w:rsidRDefault="00F757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C" w:rsidRDefault="00F757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74C"/>
    <w:rsid w:val="00D41D37"/>
    <w:rsid w:val="00F75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74C"/>
    <w:pPr>
      <w:widowControl w:val="0"/>
      <w:jc w:val="both"/>
    </w:pPr>
    <w:rPr>
      <w:kern w:val="2"/>
      <w:sz w:val="21"/>
      <w:szCs w:val="24"/>
    </w:rPr>
  </w:style>
  <w:style w:type="paragraph" w:styleId="1">
    <w:name w:val="heading 1"/>
    <w:basedOn w:val="a"/>
    <w:next w:val="a"/>
    <w:qFormat/>
    <w:rsid w:val="00F7574C"/>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4</DocSecurity>
  <Lines>1</Lines>
  <Paragraphs>1</Paragraphs>
  <ScaleCrop>false</ScaleCrop>
  <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ZHONGM</cp:lastModifiedBy>
  <cp:revision>2</cp:revision>
  <dcterms:created xsi:type="dcterms:W3CDTF">2025-06-10T16:00:00Z</dcterms:created>
  <dcterms:modified xsi:type="dcterms:W3CDTF">2025-06-10T16:00:00Z</dcterms:modified>
  <cp:contentStatus>国泰君安证券股份有限公司*国泰君安证券资产管理公司：上海国泰君安证券资产管理有限公司关于旗下基金持有停牌股票估值调整的公告，烦请于明天（2025年6月11日）发布，谢谢*zhanghaowen@gtht.com*lkl@ssnews.com.cn * *chengang5@gtht.com,lintao2@gtht.com *2025-06-10 16:29:40;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0DB5E7F66C2747D1A6A2F9DE65B8C9C1_13</vt:lpwstr>
  </property>
  <property fmtid="{D5CDD505-2E9C-101B-9397-08002B2CF9AE}" pid="3" name="KSOProductBuildVer">
    <vt:lpwstr>2052-12.8.2.19315</vt:lpwstr>
  </property>
</Properties>
</file>