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C51951">
        <w:rPr>
          <w:rFonts w:hint="eastAsia"/>
          <w:b/>
          <w:sz w:val="44"/>
          <w:szCs w:val="30"/>
        </w:rPr>
        <w:t>关于新增</w:t>
      </w:r>
      <w:r w:rsidR="00D70EAA">
        <w:rPr>
          <w:rFonts w:hint="eastAsia"/>
          <w:b/>
          <w:sz w:val="44"/>
          <w:szCs w:val="30"/>
        </w:rPr>
        <w:t>平安证券</w:t>
      </w:r>
      <w:r w:rsidR="00E93E62" w:rsidRPr="00E93E62">
        <w:rPr>
          <w:rFonts w:hint="eastAsia"/>
          <w:b/>
          <w:sz w:val="44"/>
          <w:szCs w:val="30"/>
        </w:rPr>
        <w:t>股份有限公司</w:t>
      </w:r>
      <w:r w:rsidRPr="00C51951">
        <w:rPr>
          <w:rFonts w:hint="eastAsia"/>
          <w:b/>
          <w:sz w:val="44"/>
          <w:szCs w:val="30"/>
        </w:rPr>
        <w:t>为</w:t>
      </w:r>
    </w:p>
    <w:p w:rsidR="00877153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建信</w:t>
      </w:r>
      <w:r w:rsidR="00877153">
        <w:rPr>
          <w:rFonts w:hint="eastAsia"/>
          <w:b/>
          <w:sz w:val="44"/>
          <w:szCs w:val="30"/>
        </w:rPr>
        <w:t>旗下部分基金产品</w:t>
      </w:r>
    </w:p>
    <w:p w:rsidR="00AA7045" w:rsidRP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销售</w:t>
      </w:r>
      <w:r w:rsidRPr="00C51951">
        <w:rPr>
          <w:rFonts w:hint="eastAsia"/>
          <w:b/>
          <w:sz w:val="44"/>
          <w:szCs w:val="30"/>
        </w:rPr>
        <w:t>机构的公告</w:t>
      </w:r>
    </w:p>
    <w:p w:rsidR="008060AE" w:rsidRPr="008060AE" w:rsidRDefault="008060AE" w:rsidP="008060AE">
      <w:pPr>
        <w:jc w:val="center"/>
        <w:rPr>
          <w:b/>
          <w:sz w:val="44"/>
          <w:szCs w:val="30"/>
        </w:rPr>
      </w:pPr>
    </w:p>
    <w:p w:rsidR="00BC498A" w:rsidRDefault="000913FE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D70EAA">
        <w:rPr>
          <w:rFonts w:ascii="彩虹粗仿宋" w:eastAsia="彩虹粗仿宋" w:hint="eastAsia"/>
          <w:sz w:val="32"/>
          <w:szCs w:val="32"/>
        </w:rPr>
        <w:t>平安证券</w:t>
      </w:r>
      <w:r w:rsidR="00425C09" w:rsidRPr="00425C09">
        <w:rPr>
          <w:rFonts w:ascii="彩虹粗仿宋" w:eastAsia="彩虹粗仿宋" w:hint="eastAsia"/>
          <w:sz w:val="32"/>
          <w:szCs w:val="32"/>
        </w:rPr>
        <w:t>股份有限公司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E93E62">
        <w:rPr>
          <w:rFonts w:ascii="彩虹粗仿宋" w:eastAsia="彩虹粗仿宋" w:hint="eastAsia"/>
          <w:sz w:val="32"/>
          <w:szCs w:val="32"/>
        </w:rPr>
        <w:t>202</w:t>
      </w:r>
      <w:r w:rsidR="00C7439E">
        <w:rPr>
          <w:rFonts w:ascii="彩虹粗仿宋" w:eastAsia="彩虹粗仿宋" w:hint="eastAsia"/>
          <w:sz w:val="32"/>
          <w:szCs w:val="32"/>
        </w:rPr>
        <w:t>5</w:t>
      </w:r>
      <w:r w:rsidR="00AA7045" w:rsidRPr="008060AE">
        <w:rPr>
          <w:rFonts w:ascii="彩虹粗仿宋" w:eastAsia="彩虹粗仿宋" w:hint="eastAsia"/>
          <w:sz w:val="32"/>
          <w:szCs w:val="32"/>
        </w:rPr>
        <w:t>年</w:t>
      </w:r>
      <w:r w:rsidR="000A737A">
        <w:rPr>
          <w:rFonts w:ascii="彩虹粗仿宋" w:eastAsia="彩虹粗仿宋" w:hint="eastAsia"/>
          <w:sz w:val="32"/>
          <w:szCs w:val="32"/>
        </w:rPr>
        <w:t>6</w:t>
      </w:r>
      <w:r w:rsidR="00AA7045" w:rsidRPr="008060AE">
        <w:rPr>
          <w:rFonts w:ascii="彩虹粗仿宋" w:eastAsia="彩虹粗仿宋" w:hint="eastAsia"/>
          <w:sz w:val="32"/>
          <w:szCs w:val="32"/>
        </w:rPr>
        <w:t>月</w:t>
      </w:r>
      <w:r w:rsidR="00F504FB">
        <w:rPr>
          <w:rFonts w:ascii="彩虹粗仿宋" w:eastAsia="彩虹粗仿宋" w:hint="eastAsia"/>
          <w:sz w:val="32"/>
          <w:szCs w:val="32"/>
        </w:rPr>
        <w:t>11</w:t>
      </w:r>
      <w:r w:rsidR="00AF0ACE" w:rsidRPr="008060AE">
        <w:rPr>
          <w:rFonts w:ascii="彩虹粗仿宋" w:eastAsia="彩虹粗仿宋" w:hint="eastAsia"/>
          <w:sz w:val="32"/>
          <w:szCs w:val="32"/>
        </w:rPr>
        <w:t>日起，</w:t>
      </w:r>
      <w:r w:rsidR="00D70EAA">
        <w:rPr>
          <w:rFonts w:ascii="彩虹粗仿宋" w:eastAsia="彩虹粗仿宋" w:hint="eastAsia"/>
          <w:sz w:val="32"/>
          <w:szCs w:val="32"/>
        </w:rPr>
        <w:t>平安证券</w:t>
      </w:r>
      <w:r w:rsidR="008342A3">
        <w:rPr>
          <w:rFonts w:ascii="彩虹粗仿宋" w:eastAsia="彩虹粗仿宋" w:hint="eastAsia"/>
          <w:sz w:val="32"/>
          <w:szCs w:val="32"/>
        </w:rPr>
        <w:t>股份有限公司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>：</w:t>
      </w:r>
    </w:p>
    <w:p w:rsidR="008060AE" w:rsidRDefault="00AA7045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Style w:val="a8"/>
        <w:tblW w:w="10207" w:type="dxa"/>
        <w:tblInd w:w="-885" w:type="dxa"/>
        <w:tblLook w:val="04A0"/>
      </w:tblPr>
      <w:tblGrid>
        <w:gridCol w:w="851"/>
        <w:gridCol w:w="1418"/>
        <w:gridCol w:w="4820"/>
        <w:gridCol w:w="3118"/>
      </w:tblGrid>
      <w:tr w:rsidR="00420D09" w:rsidRPr="00420D09" w:rsidTr="003A7DD6">
        <w:tc>
          <w:tcPr>
            <w:tcW w:w="851" w:type="dxa"/>
            <w:vAlign w:val="center"/>
          </w:tcPr>
          <w:p w:rsidR="00420D09" w:rsidRPr="008A2552" w:rsidRDefault="00420D09" w:rsidP="003A7DD6">
            <w:pPr>
              <w:jc w:val="center"/>
              <w:rPr>
                <w:rFonts w:ascii="彩虹粗仿宋" w:eastAsia="彩虹粗仿宋"/>
                <w:b/>
                <w:sz w:val="24"/>
              </w:rPr>
            </w:pPr>
            <w:r w:rsidRPr="008A2552">
              <w:rPr>
                <w:rFonts w:ascii="彩虹粗仿宋" w:eastAsia="彩虹粗仿宋" w:hint="eastAsia"/>
                <w:b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8A2552" w:rsidRDefault="00420D09" w:rsidP="003A7DD6">
            <w:pPr>
              <w:jc w:val="center"/>
              <w:rPr>
                <w:rFonts w:ascii="彩虹粗仿宋" w:eastAsia="彩虹粗仿宋"/>
                <w:b/>
                <w:sz w:val="24"/>
              </w:rPr>
            </w:pPr>
            <w:r w:rsidRPr="008A2552">
              <w:rPr>
                <w:rFonts w:ascii="彩虹粗仿宋" w:eastAsia="彩虹粗仿宋" w:hint="eastAsia"/>
                <w:b/>
                <w:sz w:val="24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8A2552" w:rsidRDefault="00420D09" w:rsidP="003A7DD6">
            <w:pPr>
              <w:jc w:val="center"/>
              <w:rPr>
                <w:rFonts w:ascii="彩虹粗仿宋" w:eastAsia="彩虹粗仿宋"/>
                <w:b/>
                <w:sz w:val="24"/>
              </w:rPr>
            </w:pPr>
            <w:r w:rsidRPr="008A2552">
              <w:rPr>
                <w:rFonts w:ascii="彩虹粗仿宋" w:eastAsia="彩虹粗仿宋" w:hint="eastAsia"/>
                <w:b/>
                <w:sz w:val="24"/>
              </w:rPr>
              <w:t>基金全称</w:t>
            </w:r>
          </w:p>
        </w:tc>
        <w:tc>
          <w:tcPr>
            <w:tcW w:w="3118" w:type="dxa"/>
            <w:vAlign w:val="center"/>
          </w:tcPr>
          <w:p w:rsidR="00420D09" w:rsidRPr="008A2552" w:rsidRDefault="00420D09" w:rsidP="003A7DD6">
            <w:pPr>
              <w:jc w:val="center"/>
              <w:rPr>
                <w:rFonts w:ascii="彩虹粗仿宋" w:eastAsia="彩虹粗仿宋"/>
                <w:b/>
                <w:sz w:val="24"/>
              </w:rPr>
            </w:pPr>
            <w:r w:rsidRPr="008A2552">
              <w:rPr>
                <w:rFonts w:ascii="彩虹粗仿宋" w:eastAsia="彩虹粗仿宋" w:hint="eastAsia"/>
                <w:b/>
                <w:sz w:val="24"/>
              </w:rPr>
              <w:t>基金简称</w:t>
            </w:r>
          </w:p>
        </w:tc>
      </w:tr>
      <w:tr w:rsidR="000A737A" w:rsidRPr="00BC498A" w:rsidTr="000418E5">
        <w:tc>
          <w:tcPr>
            <w:tcW w:w="851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1</w:t>
            </w:r>
          </w:p>
        </w:tc>
        <w:tc>
          <w:tcPr>
            <w:tcW w:w="1418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018192</w:t>
            </w:r>
          </w:p>
        </w:tc>
        <w:tc>
          <w:tcPr>
            <w:tcW w:w="4820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</w:t>
            </w:r>
            <w:r w:rsidRPr="009B3A46">
              <w:rPr>
                <w:rFonts w:hint="eastAsia"/>
              </w:rPr>
              <w:t>建信鑫弘</w:t>
            </w:r>
            <w:r w:rsidRPr="009B3A46">
              <w:rPr>
                <w:rFonts w:hint="eastAsia"/>
              </w:rPr>
              <w:t>180</w:t>
            </w:r>
            <w:r w:rsidRPr="009B3A46">
              <w:rPr>
                <w:rFonts w:hint="eastAsia"/>
              </w:rPr>
              <w:t>天持有期债券型证券投资基金</w:t>
            </w:r>
          </w:p>
        </w:tc>
        <w:tc>
          <w:tcPr>
            <w:tcW w:w="3118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</w:t>
            </w:r>
            <w:r w:rsidRPr="009B3A46">
              <w:rPr>
                <w:rFonts w:hint="eastAsia"/>
              </w:rPr>
              <w:t>建信鑫弘</w:t>
            </w:r>
            <w:r w:rsidRPr="009B3A46">
              <w:rPr>
                <w:rFonts w:hint="eastAsia"/>
              </w:rPr>
              <w:t>180</w:t>
            </w:r>
            <w:r w:rsidRPr="009B3A46">
              <w:rPr>
                <w:rFonts w:hint="eastAsia"/>
              </w:rPr>
              <w:t>天持有债券</w:t>
            </w:r>
            <w:r w:rsidRPr="009B3A46">
              <w:rPr>
                <w:rFonts w:hint="eastAsia"/>
              </w:rPr>
              <w:t>A</w:t>
            </w:r>
          </w:p>
        </w:tc>
      </w:tr>
      <w:tr w:rsidR="000A737A" w:rsidRPr="00BC498A" w:rsidTr="000418E5">
        <w:tc>
          <w:tcPr>
            <w:tcW w:w="851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2</w:t>
            </w:r>
          </w:p>
        </w:tc>
        <w:tc>
          <w:tcPr>
            <w:tcW w:w="1418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018193</w:t>
            </w:r>
          </w:p>
        </w:tc>
        <w:tc>
          <w:tcPr>
            <w:tcW w:w="4820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</w:t>
            </w:r>
            <w:r w:rsidRPr="009B3A46">
              <w:rPr>
                <w:rFonts w:hint="eastAsia"/>
              </w:rPr>
              <w:t>建信鑫弘</w:t>
            </w:r>
            <w:r w:rsidRPr="009B3A46">
              <w:rPr>
                <w:rFonts w:hint="eastAsia"/>
              </w:rPr>
              <w:t>180</w:t>
            </w:r>
            <w:r w:rsidRPr="009B3A46">
              <w:rPr>
                <w:rFonts w:hint="eastAsia"/>
              </w:rPr>
              <w:t>天持有期债券型证券投资基金</w:t>
            </w:r>
          </w:p>
        </w:tc>
        <w:tc>
          <w:tcPr>
            <w:tcW w:w="3118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</w:t>
            </w:r>
            <w:r w:rsidRPr="009B3A46">
              <w:rPr>
                <w:rFonts w:hint="eastAsia"/>
              </w:rPr>
              <w:t>建信鑫弘</w:t>
            </w:r>
            <w:r w:rsidRPr="009B3A46">
              <w:rPr>
                <w:rFonts w:hint="eastAsia"/>
              </w:rPr>
              <w:t>180</w:t>
            </w:r>
            <w:r w:rsidRPr="009B3A46">
              <w:rPr>
                <w:rFonts w:hint="eastAsia"/>
              </w:rPr>
              <w:t>天持有债券</w:t>
            </w:r>
            <w:r w:rsidRPr="009B3A46">
              <w:rPr>
                <w:rFonts w:hint="eastAsia"/>
              </w:rPr>
              <w:t>C</w:t>
            </w:r>
          </w:p>
        </w:tc>
      </w:tr>
      <w:tr w:rsidR="000A737A" w:rsidRPr="00BC498A" w:rsidTr="000418E5">
        <w:tc>
          <w:tcPr>
            <w:tcW w:w="851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3</w:t>
            </w:r>
          </w:p>
        </w:tc>
        <w:tc>
          <w:tcPr>
            <w:tcW w:w="1418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012570</w:t>
            </w:r>
          </w:p>
        </w:tc>
        <w:tc>
          <w:tcPr>
            <w:tcW w:w="4820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</w:t>
            </w:r>
            <w:r w:rsidRPr="009B3A46">
              <w:rPr>
                <w:rFonts w:hint="eastAsia"/>
              </w:rPr>
              <w:t>建信恒生科技指数型发起式证券投资基金（</w:t>
            </w:r>
            <w:r w:rsidRPr="009B3A46">
              <w:rPr>
                <w:rFonts w:hint="eastAsia"/>
              </w:rPr>
              <w:t>QDII</w:t>
            </w:r>
            <w:r w:rsidRPr="009B3A46">
              <w:rPr>
                <w:rFonts w:hint="eastAsia"/>
              </w:rPr>
              <w:t>）</w:t>
            </w:r>
          </w:p>
        </w:tc>
        <w:tc>
          <w:tcPr>
            <w:tcW w:w="3118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</w:t>
            </w:r>
            <w:r w:rsidRPr="009B3A46">
              <w:rPr>
                <w:rFonts w:hint="eastAsia"/>
              </w:rPr>
              <w:t>建信恒生科技指数发起（</w:t>
            </w:r>
            <w:r w:rsidRPr="009B3A46">
              <w:rPr>
                <w:rFonts w:hint="eastAsia"/>
              </w:rPr>
              <w:t>QDII</w:t>
            </w:r>
            <w:r w:rsidRPr="009B3A46">
              <w:rPr>
                <w:rFonts w:hint="eastAsia"/>
              </w:rPr>
              <w:t>）</w:t>
            </w:r>
            <w:r w:rsidRPr="009B3A46">
              <w:rPr>
                <w:rFonts w:hint="eastAsia"/>
              </w:rPr>
              <w:t>A</w:t>
            </w:r>
          </w:p>
        </w:tc>
      </w:tr>
      <w:tr w:rsidR="000A737A" w:rsidRPr="00BC498A" w:rsidTr="000418E5">
        <w:tc>
          <w:tcPr>
            <w:tcW w:w="851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4</w:t>
            </w:r>
          </w:p>
        </w:tc>
        <w:tc>
          <w:tcPr>
            <w:tcW w:w="1418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012571</w:t>
            </w:r>
          </w:p>
        </w:tc>
        <w:tc>
          <w:tcPr>
            <w:tcW w:w="4820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</w:t>
            </w:r>
            <w:r w:rsidRPr="009B3A46">
              <w:rPr>
                <w:rFonts w:hint="eastAsia"/>
              </w:rPr>
              <w:t>建信恒生科技指数型发起式证券投资基金（</w:t>
            </w:r>
            <w:r w:rsidRPr="009B3A46">
              <w:rPr>
                <w:rFonts w:hint="eastAsia"/>
              </w:rPr>
              <w:t>QDII</w:t>
            </w:r>
            <w:r w:rsidRPr="009B3A46">
              <w:rPr>
                <w:rFonts w:hint="eastAsia"/>
              </w:rPr>
              <w:t>）</w:t>
            </w:r>
          </w:p>
        </w:tc>
        <w:tc>
          <w:tcPr>
            <w:tcW w:w="3118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</w:t>
            </w:r>
            <w:r w:rsidRPr="009B3A46">
              <w:rPr>
                <w:rFonts w:hint="eastAsia"/>
              </w:rPr>
              <w:t>建信恒生科技指数发起（</w:t>
            </w:r>
            <w:r w:rsidRPr="009B3A46">
              <w:rPr>
                <w:rFonts w:hint="eastAsia"/>
              </w:rPr>
              <w:t>QDII</w:t>
            </w:r>
            <w:r w:rsidRPr="009B3A46">
              <w:rPr>
                <w:rFonts w:hint="eastAsia"/>
              </w:rPr>
              <w:t>）</w:t>
            </w:r>
            <w:r w:rsidRPr="009B3A46">
              <w:rPr>
                <w:rFonts w:hint="eastAsia"/>
              </w:rPr>
              <w:t>C</w:t>
            </w:r>
          </w:p>
        </w:tc>
      </w:tr>
      <w:tr w:rsidR="000A737A" w:rsidRPr="00BC498A" w:rsidTr="000418E5">
        <w:tc>
          <w:tcPr>
            <w:tcW w:w="851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5</w:t>
            </w:r>
          </w:p>
        </w:tc>
        <w:tc>
          <w:tcPr>
            <w:tcW w:w="1418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022657</w:t>
            </w:r>
          </w:p>
        </w:tc>
        <w:tc>
          <w:tcPr>
            <w:tcW w:w="4820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</w:t>
            </w:r>
            <w:r w:rsidRPr="009B3A46">
              <w:rPr>
                <w:rFonts w:hint="eastAsia"/>
              </w:rPr>
              <w:t>建信丰融债券型证券投资基金</w:t>
            </w:r>
          </w:p>
        </w:tc>
        <w:tc>
          <w:tcPr>
            <w:tcW w:w="3118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</w:t>
            </w:r>
            <w:r w:rsidRPr="009B3A46">
              <w:rPr>
                <w:rFonts w:hint="eastAsia"/>
              </w:rPr>
              <w:t>建信丰融债券</w:t>
            </w:r>
            <w:r w:rsidRPr="009B3A46">
              <w:rPr>
                <w:rFonts w:hint="eastAsia"/>
              </w:rPr>
              <w:t>A</w:t>
            </w:r>
          </w:p>
        </w:tc>
      </w:tr>
      <w:tr w:rsidR="000A737A" w:rsidRPr="00BC498A" w:rsidTr="000418E5">
        <w:tc>
          <w:tcPr>
            <w:tcW w:w="851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6</w:t>
            </w:r>
          </w:p>
        </w:tc>
        <w:tc>
          <w:tcPr>
            <w:tcW w:w="1418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022658</w:t>
            </w:r>
          </w:p>
        </w:tc>
        <w:tc>
          <w:tcPr>
            <w:tcW w:w="4820" w:type="dxa"/>
          </w:tcPr>
          <w:p w:rsidR="000A737A" w:rsidRPr="009B3A46" w:rsidRDefault="000A737A" w:rsidP="007D79F1">
            <w:r w:rsidRPr="009B3A46">
              <w:rPr>
                <w:rFonts w:hint="eastAsia"/>
              </w:rPr>
              <w:t xml:space="preserve"> </w:t>
            </w:r>
            <w:r w:rsidRPr="009B3A46">
              <w:rPr>
                <w:rFonts w:hint="eastAsia"/>
              </w:rPr>
              <w:t>建信丰融债券型证券投资基金</w:t>
            </w:r>
          </w:p>
        </w:tc>
        <w:tc>
          <w:tcPr>
            <w:tcW w:w="3118" w:type="dxa"/>
          </w:tcPr>
          <w:p w:rsidR="000A737A" w:rsidRDefault="000A737A" w:rsidP="007D79F1">
            <w:r w:rsidRPr="009B3A46">
              <w:rPr>
                <w:rFonts w:hint="eastAsia"/>
              </w:rPr>
              <w:t xml:space="preserve"> </w:t>
            </w:r>
            <w:r w:rsidRPr="009B3A46">
              <w:rPr>
                <w:rFonts w:hint="eastAsia"/>
              </w:rPr>
              <w:t>建信丰融债券</w:t>
            </w:r>
            <w:r w:rsidRPr="009B3A46">
              <w:rPr>
                <w:rFonts w:hint="eastAsia"/>
              </w:rPr>
              <w:t>C</w:t>
            </w:r>
          </w:p>
        </w:tc>
      </w:tr>
    </w:tbl>
    <w:p w:rsidR="008060AE" w:rsidRDefault="008060AE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自</w:t>
      </w:r>
      <w:r w:rsidR="00F504FB">
        <w:rPr>
          <w:rFonts w:ascii="彩虹粗仿宋" w:eastAsia="彩虹粗仿宋" w:hint="eastAsia"/>
          <w:sz w:val="32"/>
          <w:szCs w:val="32"/>
        </w:rPr>
        <w:t>2025</w:t>
      </w:r>
      <w:r w:rsidR="00F504FB" w:rsidRPr="008060AE">
        <w:rPr>
          <w:rFonts w:ascii="彩虹粗仿宋" w:eastAsia="彩虹粗仿宋" w:hint="eastAsia"/>
          <w:sz w:val="32"/>
          <w:szCs w:val="32"/>
        </w:rPr>
        <w:t>年</w:t>
      </w:r>
      <w:r w:rsidR="00F504FB">
        <w:rPr>
          <w:rFonts w:ascii="彩虹粗仿宋" w:eastAsia="彩虹粗仿宋" w:hint="eastAsia"/>
          <w:sz w:val="32"/>
          <w:szCs w:val="32"/>
        </w:rPr>
        <w:t>6</w:t>
      </w:r>
      <w:r w:rsidR="00F504FB" w:rsidRPr="008060AE">
        <w:rPr>
          <w:rFonts w:ascii="彩虹粗仿宋" w:eastAsia="彩虹粗仿宋" w:hint="eastAsia"/>
          <w:sz w:val="32"/>
          <w:szCs w:val="32"/>
        </w:rPr>
        <w:t>月</w:t>
      </w:r>
      <w:r w:rsidR="00F504FB">
        <w:rPr>
          <w:rFonts w:ascii="彩虹粗仿宋" w:eastAsia="彩虹粗仿宋" w:hint="eastAsia"/>
          <w:sz w:val="32"/>
          <w:szCs w:val="32"/>
        </w:rPr>
        <w:t>11</w:t>
      </w:r>
      <w:r w:rsidR="00F504FB" w:rsidRPr="008060AE">
        <w:rPr>
          <w:rFonts w:ascii="彩虹粗仿宋" w:eastAsia="彩虹粗仿宋" w:hint="eastAsia"/>
          <w:sz w:val="32"/>
          <w:szCs w:val="32"/>
        </w:rPr>
        <w:t>日</w:t>
      </w:r>
      <w:r w:rsidR="00A33848">
        <w:rPr>
          <w:rFonts w:ascii="彩虹粗仿宋" w:eastAsia="彩虹粗仿宋" w:hint="eastAsia"/>
          <w:sz w:val="32"/>
          <w:szCs w:val="32"/>
        </w:rPr>
        <w:t>起，投资者可在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>
        <w:rPr>
          <w:rFonts w:ascii="彩虹粗仿宋" w:eastAsia="彩虹粗仿宋" w:hint="eastAsia"/>
          <w:sz w:val="32"/>
          <w:szCs w:val="32"/>
        </w:rPr>
        <w:t>等法律文件。</w:t>
      </w:r>
    </w:p>
    <w:p w:rsidR="00C51951" w:rsidRDefault="00935DD9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8342A3">
        <w:rPr>
          <w:rFonts w:ascii="彩虹粗仿宋" w:eastAsia="彩虹粗仿宋" w:hint="eastAsia"/>
          <w:sz w:val="32"/>
          <w:szCs w:val="32"/>
        </w:rPr>
        <w:t>上述券商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C51951" w:rsidRPr="00AC0C38" w:rsidRDefault="00D70EAA" w:rsidP="00C51951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 w:hAnsi="inherit" w:cs="宋体" w:hint="eastAsia"/>
          <w:kern w:val="0"/>
          <w:sz w:val="32"/>
          <w:szCs w:val="32"/>
        </w:rPr>
      </w:pPr>
      <w:r>
        <w:rPr>
          <w:rFonts w:ascii="彩虹粗仿宋" w:eastAsia="彩虹粗仿宋" w:hAnsi="inherit" w:cs="宋体" w:hint="eastAsia"/>
          <w:kern w:val="0"/>
          <w:sz w:val="32"/>
          <w:szCs w:val="32"/>
        </w:rPr>
        <w:t>平安证券</w:t>
      </w:r>
      <w:r w:rsidR="00C51951" w:rsidRPr="00AC0C38">
        <w:rPr>
          <w:rFonts w:ascii="彩虹粗仿宋" w:eastAsia="彩虹粗仿宋" w:hAnsi="inherit" w:cs="宋体" w:hint="eastAsia"/>
          <w:kern w:val="0"/>
          <w:sz w:val="32"/>
          <w:szCs w:val="32"/>
        </w:rPr>
        <w:t>股份有限公司</w:t>
      </w:r>
    </w:p>
    <w:p w:rsidR="00AD079F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lastRenderedPageBreak/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="00D70EAA" w:rsidRPr="00D70EAA">
        <w:rPr>
          <w:rFonts w:ascii="彩虹粗仿宋" w:eastAsia="彩虹粗仿宋" w:hint="eastAsia"/>
          <w:sz w:val="32"/>
          <w:szCs w:val="32"/>
        </w:rPr>
        <w:t>深圳市福田区福田街道益田路5023号平安金融中心B座第22-25层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客服电话：</w:t>
      </w:r>
      <w:r w:rsidR="00D70EAA" w:rsidRPr="00D70EAA">
        <w:rPr>
          <w:rFonts w:ascii="彩虹粗仿宋" w:eastAsia="彩虹粗仿宋" w:hint="eastAsia"/>
          <w:sz w:val="32"/>
          <w:szCs w:val="32"/>
        </w:rPr>
        <w:t>95511转8</w:t>
      </w:r>
    </w:p>
    <w:p w:rsidR="00C51951" w:rsidRDefault="00C51951" w:rsidP="00425C09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="00D70EAA" w:rsidRPr="00D70EAA">
        <w:rPr>
          <w:rFonts w:ascii="彩虹粗仿宋" w:eastAsia="彩虹粗仿宋"/>
          <w:sz w:val="32"/>
          <w:szCs w:val="32"/>
        </w:rPr>
        <w:t>https://stock.pingan.com/</w:t>
      </w:r>
    </w:p>
    <w:p w:rsidR="00425C09" w:rsidRPr="00AC0C38" w:rsidRDefault="00425C09" w:rsidP="00425C09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C51951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网址：http://www.ccbfund.cn</w:t>
      </w:r>
    </w:p>
    <w:p w:rsidR="008060AE" w:rsidRPr="00C51951" w:rsidRDefault="008060AE" w:rsidP="008060AE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935DD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8060AE" w:rsidRDefault="008060AE" w:rsidP="008060AE">
      <w:pPr>
        <w:spacing w:line="360" w:lineRule="auto"/>
        <w:ind w:firstLine="420"/>
        <w:rPr>
          <w:rFonts w:ascii="彩虹粗仿宋" w:eastAsia="彩虹粗仿宋"/>
          <w:sz w:val="32"/>
          <w:szCs w:val="32"/>
        </w:rPr>
      </w:pPr>
    </w:p>
    <w:p w:rsidR="001C5EB6" w:rsidRDefault="008060AE" w:rsidP="00F439F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F504FB" w:rsidP="00877153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2025</w:t>
      </w:r>
      <w:r w:rsidRPr="008060AE"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6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11</w:t>
      </w:r>
      <w:r w:rsidRPr="008060AE">
        <w:rPr>
          <w:rFonts w:ascii="彩虹粗仿宋" w:eastAsia="彩虹粗仿宋" w:hint="eastAsia"/>
          <w:sz w:val="32"/>
          <w:szCs w:val="32"/>
        </w:rPr>
        <w:t>日</w:t>
      </w:r>
      <w:bookmarkStart w:id="0" w:name="_GoBack"/>
      <w:bookmarkEnd w:id="0"/>
    </w:p>
    <w:sectPr w:rsidR="00AA7045" w:rsidRPr="00AA7045" w:rsidSect="00391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D28" w:rsidRDefault="00DF4D28" w:rsidP="0007179E">
      <w:r>
        <w:separator/>
      </w:r>
    </w:p>
  </w:endnote>
  <w:endnote w:type="continuationSeparator" w:id="0">
    <w:p w:rsidR="00DF4D28" w:rsidRDefault="00DF4D28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D28" w:rsidRDefault="00DF4D28" w:rsidP="0007179E">
      <w:r>
        <w:separator/>
      </w:r>
    </w:p>
  </w:footnote>
  <w:footnote w:type="continuationSeparator" w:id="0">
    <w:p w:rsidR="00DF4D28" w:rsidRDefault="00DF4D28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42FE"/>
    <w:rsid w:val="000055A5"/>
    <w:rsid w:val="0000598B"/>
    <w:rsid w:val="000142C6"/>
    <w:rsid w:val="00025672"/>
    <w:rsid w:val="00037A19"/>
    <w:rsid w:val="0007179E"/>
    <w:rsid w:val="000719AA"/>
    <w:rsid w:val="00071D88"/>
    <w:rsid w:val="00085630"/>
    <w:rsid w:val="000913FE"/>
    <w:rsid w:val="00095EB7"/>
    <w:rsid w:val="000A498C"/>
    <w:rsid w:val="000A737A"/>
    <w:rsid w:val="000B09D8"/>
    <w:rsid w:val="000C4943"/>
    <w:rsid w:val="000E1551"/>
    <w:rsid w:val="000E5A76"/>
    <w:rsid w:val="001275A1"/>
    <w:rsid w:val="0013190A"/>
    <w:rsid w:val="001440F3"/>
    <w:rsid w:val="00157529"/>
    <w:rsid w:val="0017416A"/>
    <w:rsid w:val="00182543"/>
    <w:rsid w:val="001A7B67"/>
    <w:rsid w:val="001B20C6"/>
    <w:rsid w:val="001C5EB6"/>
    <w:rsid w:val="001D3418"/>
    <w:rsid w:val="001D4E7A"/>
    <w:rsid w:val="001D6CAD"/>
    <w:rsid w:val="001D7417"/>
    <w:rsid w:val="001F1743"/>
    <w:rsid w:val="0020426F"/>
    <w:rsid w:val="00210C88"/>
    <w:rsid w:val="0026680D"/>
    <w:rsid w:val="002908C6"/>
    <w:rsid w:val="002958B6"/>
    <w:rsid w:val="002974BD"/>
    <w:rsid w:val="002A5291"/>
    <w:rsid w:val="002B69D5"/>
    <w:rsid w:val="002C02B7"/>
    <w:rsid w:val="002C2406"/>
    <w:rsid w:val="002C7229"/>
    <w:rsid w:val="00303279"/>
    <w:rsid w:val="00340F14"/>
    <w:rsid w:val="00346054"/>
    <w:rsid w:val="0035195D"/>
    <w:rsid w:val="003601C8"/>
    <w:rsid w:val="00390F69"/>
    <w:rsid w:val="0039187F"/>
    <w:rsid w:val="00391881"/>
    <w:rsid w:val="003A7DD6"/>
    <w:rsid w:val="003B2AA3"/>
    <w:rsid w:val="003B67C4"/>
    <w:rsid w:val="003C37ED"/>
    <w:rsid w:val="003D096D"/>
    <w:rsid w:val="003D5ADB"/>
    <w:rsid w:val="003E654D"/>
    <w:rsid w:val="003F5558"/>
    <w:rsid w:val="00410E15"/>
    <w:rsid w:val="00413B6A"/>
    <w:rsid w:val="00420D09"/>
    <w:rsid w:val="00425C09"/>
    <w:rsid w:val="00432365"/>
    <w:rsid w:val="00453C0E"/>
    <w:rsid w:val="00457CB7"/>
    <w:rsid w:val="00484FA5"/>
    <w:rsid w:val="004A45E8"/>
    <w:rsid w:val="004C3127"/>
    <w:rsid w:val="004C475D"/>
    <w:rsid w:val="004D0013"/>
    <w:rsid w:val="004E1A9D"/>
    <w:rsid w:val="0051601C"/>
    <w:rsid w:val="00522413"/>
    <w:rsid w:val="00526DE2"/>
    <w:rsid w:val="0053063D"/>
    <w:rsid w:val="00533F32"/>
    <w:rsid w:val="00546F02"/>
    <w:rsid w:val="00570129"/>
    <w:rsid w:val="005852A6"/>
    <w:rsid w:val="005C2A25"/>
    <w:rsid w:val="00604516"/>
    <w:rsid w:val="006176B2"/>
    <w:rsid w:val="00682A58"/>
    <w:rsid w:val="0068752C"/>
    <w:rsid w:val="006A0E93"/>
    <w:rsid w:val="006A1414"/>
    <w:rsid w:val="006D2637"/>
    <w:rsid w:val="006D48BF"/>
    <w:rsid w:val="006D7420"/>
    <w:rsid w:val="00745EC1"/>
    <w:rsid w:val="00756181"/>
    <w:rsid w:val="00763DF8"/>
    <w:rsid w:val="00774F2E"/>
    <w:rsid w:val="007777AB"/>
    <w:rsid w:val="00793746"/>
    <w:rsid w:val="00794B6C"/>
    <w:rsid w:val="007B75A5"/>
    <w:rsid w:val="007E2DB3"/>
    <w:rsid w:val="007E3ACD"/>
    <w:rsid w:val="007E6734"/>
    <w:rsid w:val="007F08B5"/>
    <w:rsid w:val="00801628"/>
    <w:rsid w:val="008051B1"/>
    <w:rsid w:val="008060AE"/>
    <w:rsid w:val="008127FB"/>
    <w:rsid w:val="00820AD1"/>
    <w:rsid w:val="008221BE"/>
    <w:rsid w:val="008342A3"/>
    <w:rsid w:val="00876D98"/>
    <w:rsid w:val="00877153"/>
    <w:rsid w:val="00892FEE"/>
    <w:rsid w:val="00895EDF"/>
    <w:rsid w:val="008A2552"/>
    <w:rsid w:val="008B30E1"/>
    <w:rsid w:val="008B5C89"/>
    <w:rsid w:val="008C7104"/>
    <w:rsid w:val="008E1DA0"/>
    <w:rsid w:val="008F3853"/>
    <w:rsid w:val="00912718"/>
    <w:rsid w:val="009174AF"/>
    <w:rsid w:val="009176DE"/>
    <w:rsid w:val="00920651"/>
    <w:rsid w:val="00935DD9"/>
    <w:rsid w:val="00941142"/>
    <w:rsid w:val="00945033"/>
    <w:rsid w:val="00956EE9"/>
    <w:rsid w:val="0096640A"/>
    <w:rsid w:val="00975F41"/>
    <w:rsid w:val="00977AF0"/>
    <w:rsid w:val="00990E9D"/>
    <w:rsid w:val="009A5154"/>
    <w:rsid w:val="009D23D1"/>
    <w:rsid w:val="009F53E9"/>
    <w:rsid w:val="009F6D97"/>
    <w:rsid w:val="00A04D54"/>
    <w:rsid w:val="00A26F4B"/>
    <w:rsid w:val="00A33848"/>
    <w:rsid w:val="00A4111F"/>
    <w:rsid w:val="00A72E74"/>
    <w:rsid w:val="00A75729"/>
    <w:rsid w:val="00A91BB1"/>
    <w:rsid w:val="00AA7045"/>
    <w:rsid w:val="00AB4CE6"/>
    <w:rsid w:val="00AC0C38"/>
    <w:rsid w:val="00AC1067"/>
    <w:rsid w:val="00AC4DA8"/>
    <w:rsid w:val="00AD079F"/>
    <w:rsid w:val="00AE1E6A"/>
    <w:rsid w:val="00AE3477"/>
    <w:rsid w:val="00AF0ACE"/>
    <w:rsid w:val="00AF7942"/>
    <w:rsid w:val="00B00999"/>
    <w:rsid w:val="00B05ECD"/>
    <w:rsid w:val="00B2170F"/>
    <w:rsid w:val="00B246E6"/>
    <w:rsid w:val="00B26C73"/>
    <w:rsid w:val="00B4389F"/>
    <w:rsid w:val="00B50FBE"/>
    <w:rsid w:val="00B97165"/>
    <w:rsid w:val="00BC418D"/>
    <w:rsid w:val="00BC498A"/>
    <w:rsid w:val="00BC7655"/>
    <w:rsid w:val="00BD036F"/>
    <w:rsid w:val="00BF1E8C"/>
    <w:rsid w:val="00C00D10"/>
    <w:rsid w:val="00C074E9"/>
    <w:rsid w:val="00C36179"/>
    <w:rsid w:val="00C411C3"/>
    <w:rsid w:val="00C477D0"/>
    <w:rsid w:val="00C51951"/>
    <w:rsid w:val="00C563D2"/>
    <w:rsid w:val="00C7439E"/>
    <w:rsid w:val="00C75A1D"/>
    <w:rsid w:val="00C77DAE"/>
    <w:rsid w:val="00C93D80"/>
    <w:rsid w:val="00C96322"/>
    <w:rsid w:val="00C96DBB"/>
    <w:rsid w:val="00CC79A2"/>
    <w:rsid w:val="00CD4FD4"/>
    <w:rsid w:val="00CE2DC6"/>
    <w:rsid w:val="00CF02FE"/>
    <w:rsid w:val="00D22C0D"/>
    <w:rsid w:val="00D430B3"/>
    <w:rsid w:val="00D5104A"/>
    <w:rsid w:val="00D52297"/>
    <w:rsid w:val="00D70EAA"/>
    <w:rsid w:val="00D76F90"/>
    <w:rsid w:val="00D832D3"/>
    <w:rsid w:val="00DA08CE"/>
    <w:rsid w:val="00DC466B"/>
    <w:rsid w:val="00DE3005"/>
    <w:rsid w:val="00DF4D28"/>
    <w:rsid w:val="00DF6590"/>
    <w:rsid w:val="00E1437A"/>
    <w:rsid w:val="00E21CA2"/>
    <w:rsid w:val="00E27018"/>
    <w:rsid w:val="00E37F08"/>
    <w:rsid w:val="00E428A8"/>
    <w:rsid w:val="00E519F1"/>
    <w:rsid w:val="00E62A11"/>
    <w:rsid w:val="00E6765B"/>
    <w:rsid w:val="00E767D8"/>
    <w:rsid w:val="00E919D8"/>
    <w:rsid w:val="00E93E62"/>
    <w:rsid w:val="00F01C0F"/>
    <w:rsid w:val="00F15049"/>
    <w:rsid w:val="00F370A9"/>
    <w:rsid w:val="00F439F0"/>
    <w:rsid w:val="00F44303"/>
    <w:rsid w:val="00F504FB"/>
    <w:rsid w:val="00F67A41"/>
    <w:rsid w:val="00F7307B"/>
    <w:rsid w:val="00F739D0"/>
    <w:rsid w:val="00F822F9"/>
    <w:rsid w:val="00FA583A"/>
    <w:rsid w:val="00FB424D"/>
    <w:rsid w:val="00FB4F70"/>
    <w:rsid w:val="00FC5E4B"/>
    <w:rsid w:val="00FD6BE9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4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2025-06-10T16:02:00Z</dcterms:created>
  <dcterms:modified xsi:type="dcterms:W3CDTF">2025-06-10T16:02:00Z</dcterms:modified>
</cp:coreProperties>
</file>