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84" w:rsidRPr="002F69C6" w:rsidRDefault="00B44C84" w:rsidP="00E426C6">
      <w:pPr>
        <w:spacing w:line="360" w:lineRule="auto"/>
        <w:contextualSpacing/>
        <w:mirrorIndents/>
        <w:jc w:val="center"/>
        <w:rPr>
          <w:rFonts w:ascii="黑体" w:eastAsia="黑体" w:hAnsi="黑体" w:cs="Arial"/>
          <w:szCs w:val="21"/>
        </w:rPr>
      </w:pPr>
      <w:r w:rsidRPr="002F69C6">
        <w:rPr>
          <w:rFonts w:ascii="黑体" w:eastAsia="黑体" w:hAnsi="黑体" w:cs="Arial" w:hint="eastAsia"/>
          <w:szCs w:val="21"/>
        </w:rPr>
        <w:t>兴业基金管理有限公司关于</w:t>
      </w:r>
      <w:r w:rsidRPr="002F69C6">
        <w:rPr>
          <w:rFonts w:ascii="黑体" w:eastAsia="黑体" w:hAnsi="黑体" w:cs="Arial"/>
          <w:szCs w:val="21"/>
        </w:rPr>
        <w:t>旗下基金</w:t>
      </w:r>
      <w:r w:rsidR="0056611D" w:rsidRPr="002F69C6">
        <w:rPr>
          <w:rFonts w:ascii="黑体" w:eastAsia="黑体" w:hAnsi="黑体" w:cs="Arial" w:hint="eastAsia"/>
          <w:szCs w:val="21"/>
        </w:rPr>
        <w:t>估值调整情况的公告</w:t>
      </w:r>
    </w:p>
    <w:p w:rsidR="00B44C84" w:rsidRPr="002F69C6" w:rsidRDefault="00B44C84" w:rsidP="00E426C6">
      <w:pPr>
        <w:spacing w:line="360" w:lineRule="auto"/>
        <w:ind w:firstLineChars="200" w:firstLine="420"/>
        <w:contextualSpacing/>
        <w:mirrorIndents/>
        <w:rPr>
          <w:rFonts w:ascii="黑体" w:eastAsia="黑体" w:hAnsi="黑体" w:cs="Arial"/>
          <w:szCs w:val="21"/>
        </w:rPr>
      </w:pPr>
    </w:p>
    <w:p w:rsidR="00B44C84" w:rsidRPr="002F69C6" w:rsidRDefault="00B44C84" w:rsidP="00E426C6">
      <w:pPr>
        <w:spacing w:line="360" w:lineRule="auto"/>
        <w:ind w:firstLineChars="200" w:firstLine="420"/>
        <w:contextualSpacing/>
        <w:mirrorIndents/>
        <w:rPr>
          <w:rFonts w:ascii="黑体" w:eastAsia="黑体" w:hAnsi="黑体" w:cs="Arial"/>
          <w:szCs w:val="21"/>
        </w:rPr>
      </w:pPr>
      <w:r w:rsidRPr="002F69C6">
        <w:rPr>
          <w:rFonts w:ascii="黑体" w:eastAsia="黑体" w:hAnsi="黑体" w:cs="Arial" w:hint="eastAsia"/>
          <w:szCs w:val="21"/>
        </w:rPr>
        <w:t>根据《</w:t>
      </w:r>
      <w:r w:rsidR="00793788" w:rsidRPr="002F69C6">
        <w:rPr>
          <w:rFonts w:ascii="黑体" w:eastAsia="黑体" w:hAnsi="黑体" w:cs="Arial" w:hint="eastAsia"/>
          <w:szCs w:val="21"/>
        </w:rPr>
        <w:t>中国证监会</w:t>
      </w:r>
      <w:r w:rsidRPr="002F69C6">
        <w:rPr>
          <w:rFonts w:ascii="黑体" w:eastAsia="黑体" w:hAnsi="黑体" w:cs="Arial" w:hint="eastAsia"/>
          <w:szCs w:val="21"/>
        </w:rPr>
        <w:t>关于证券投资基金估值业务的指导意见》（</w:t>
      </w:r>
      <w:r w:rsidR="00793788" w:rsidRPr="002F69C6">
        <w:rPr>
          <w:rFonts w:ascii="黑体" w:eastAsia="黑体" w:hAnsi="黑体" w:cs="Arial" w:hint="eastAsia"/>
          <w:szCs w:val="21"/>
        </w:rPr>
        <w:t>中国证券监督管理委员会</w:t>
      </w:r>
      <w:r w:rsidRPr="002F69C6">
        <w:rPr>
          <w:rFonts w:ascii="黑体" w:eastAsia="黑体" w:hAnsi="黑体" w:cs="Arial" w:hint="eastAsia"/>
          <w:szCs w:val="21"/>
        </w:rPr>
        <w:t>公告[2017]13号）及中国证券投资基金业协会《关于发布中基协（AMAC）基金行业股票估值指数的通知》（中基协发[2013]13号）</w:t>
      </w:r>
      <w:r w:rsidR="0056611D" w:rsidRPr="002F69C6">
        <w:rPr>
          <w:rFonts w:ascii="黑体" w:eastAsia="黑体" w:hAnsi="黑体" w:cs="Arial" w:hint="eastAsia"/>
          <w:szCs w:val="21"/>
        </w:rPr>
        <w:t>等</w:t>
      </w:r>
      <w:r w:rsidRPr="002F69C6">
        <w:rPr>
          <w:rFonts w:ascii="黑体" w:eastAsia="黑体" w:hAnsi="黑体" w:cs="Arial" w:hint="eastAsia"/>
          <w:szCs w:val="21"/>
        </w:rPr>
        <w:t>的相关规定，经与基金托管人协商一致，兴业</w:t>
      </w:r>
      <w:r w:rsidRPr="002F69C6">
        <w:rPr>
          <w:rFonts w:ascii="黑体" w:eastAsia="黑体" w:hAnsi="黑体" w:cs="Arial"/>
          <w:szCs w:val="21"/>
        </w:rPr>
        <w:t>基金管理有限公司（以下简称“本公司”）决定自</w:t>
      </w:r>
      <w:r w:rsidR="00E426C6" w:rsidRPr="002F69C6">
        <w:rPr>
          <w:rFonts w:ascii="黑体" w:eastAsia="黑体" w:hAnsi="黑体" w:cs="Arial"/>
          <w:szCs w:val="21"/>
        </w:rPr>
        <w:t>2025</w:t>
      </w:r>
      <w:r w:rsidRPr="002F69C6">
        <w:rPr>
          <w:rFonts w:ascii="黑体" w:eastAsia="黑体" w:hAnsi="黑体" w:cs="Arial"/>
          <w:szCs w:val="21"/>
        </w:rPr>
        <w:t>年</w:t>
      </w:r>
      <w:r w:rsidR="00E426C6" w:rsidRPr="002F69C6">
        <w:rPr>
          <w:rFonts w:ascii="黑体" w:eastAsia="黑体" w:hAnsi="黑体" w:cs="Arial"/>
          <w:szCs w:val="21"/>
        </w:rPr>
        <w:t>6</w:t>
      </w:r>
      <w:r w:rsidRPr="002F69C6">
        <w:rPr>
          <w:rFonts w:ascii="黑体" w:eastAsia="黑体" w:hAnsi="黑体" w:cs="Arial"/>
          <w:szCs w:val="21"/>
        </w:rPr>
        <w:t>月</w:t>
      </w:r>
      <w:r w:rsidR="00E426C6" w:rsidRPr="002F69C6">
        <w:rPr>
          <w:rFonts w:ascii="黑体" w:eastAsia="黑体" w:hAnsi="黑体" w:cs="Arial"/>
          <w:szCs w:val="21"/>
        </w:rPr>
        <w:t>9</w:t>
      </w:r>
      <w:r w:rsidRPr="002F69C6">
        <w:rPr>
          <w:rFonts w:ascii="黑体" w:eastAsia="黑体" w:hAnsi="黑体" w:cs="Arial"/>
          <w:szCs w:val="21"/>
        </w:rPr>
        <w:t>日起，对旗下</w:t>
      </w:r>
      <w:r w:rsidRPr="002F69C6">
        <w:rPr>
          <w:rFonts w:ascii="黑体" w:eastAsia="黑体" w:hAnsi="黑体" w:cs="Arial" w:hint="eastAsia"/>
          <w:szCs w:val="21"/>
        </w:rPr>
        <w:t>基金</w:t>
      </w:r>
      <w:r w:rsidR="00E426C6" w:rsidRPr="002F69C6">
        <w:rPr>
          <w:rFonts w:ascii="黑体" w:eastAsia="黑体" w:hAnsi="黑体" w:cs="Arial" w:hint="eastAsia"/>
          <w:szCs w:val="21"/>
        </w:rPr>
        <w:t>（</w:t>
      </w:r>
      <w:r w:rsidR="00C53C6C">
        <w:rPr>
          <w:rFonts w:ascii="黑体" w:eastAsia="黑体" w:hAnsi="黑体" w:cs="Arial" w:hint="eastAsia"/>
          <w:szCs w:val="21"/>
        </w:rPr>
        <w:t>ETF</w:t>
      </w:r>
      <w:r w:rsidR="00E426C6" w:rsidRPr="002F69C6">
        <w:rPr>
          <w:rFonts w:ascii="黑体" w:eastAsia="黑体" w:hAnsi="黑体" w:cs="Arial" w:hint="eastAsia"/>
          <w:szCs w:val="21"/>
        </w:rPr>
        <w:t>除外）</w:t>
      </w:r>
      <w:r w:rsidRPr="002F69C6">
        <w:rPr>
          <w:rFonts w:ascii="黑体" w:eastAsia="黑体" w:hAnsi="黑体" w:cs="Arial"/>
          <w:szCs w:val="21"/>
        </w:rPr>
        <w:t>持有</w:t>
      </w:r>
      <w:r w:rsidRPr="002F69C6">
        <w:rPr>
          <w:rFonts w:ascii="黑体" w:eastAsia="黑体" w:hAnsi="黑体" w:cs="Arial" w:hint="eastAsia"/>
          <w:szCs w:val="21"/>
        </w:rPr>
        <w:t>的</w:t>
      </w:r>
      <w:r w:rsidRPr="002F69C6">
        <w:rPr>
          <w:rFonts w:ascii="黑体" w:eastAsia="黑体" w:hAnsi="黑体" w:cs="Arial"/>
          <w:szCs w:val="21"/>
        </w:rPr>
        <w:t>股票</w:t>
      </w:r>
      <w:r w:rsidRPr="002F69C6">
        <w:rPr>
          <w:rFonts w:ascii="黑体" w:eastAsia="黑体" w:hAnsi="黑体" w:cs="Arial" w:hint="eastAsia"/>
          <w:szCs w:val="21"/>
        </w:rPr>
        <w:t>“</w:t>
      </w:r>
      <w:r w:rsidR="00E426C6" w:rsidRPr="002F69C6">
        <w:rPr>
          <w:rFonts w:ascii="黑体" w:eastAsia="黑体" w:hAnsi="黑体" w:cs="Arial" w:hint="eastAsia"/>
          <w:szCs w:val="21"/>
        </w:rPr>
        <w:t>海光信息”</w:t>
      </w:r>
      <w:r w:rsidRPr="002F69C6">
        <w:rPr>
          <w:rFonts w:ascii="黑体" w:eastAsia="黑体" w:hAnsi="黑体" w:cs="Arial" w:hint="eastAsia"/>
          <w:szCs w:val="21"/>
        </w:rPr>
        <w:t>（股票代码：</w:t>
      </w:r>
      <w:r w:rsidR="00E426C6" w:rsidRPr="002F69C6">
        <w:rPr>
          <w:rFonts w:ascii="黑体" w:eastAsia="黑体" w:hAnsi="黑体" w:cs="Arial" w:hint="eastAsia"/>
          <w:szCs w:val="21"/>
        </w:rPr>
        <w:t>688041</w:t>
      </w:r>
      <w:r w:rsidRPr="002F69C6">
        <w:rPr>
          <w:rFonts w:ascii="黑体" w:eastAsia="黑体" w:hAnsi="黑体" w:cs="Arial" w:hint="eastAsia"/>
          <w:szCs w:val="21"/>
        </w:rPr>
        <w:t>）”</w:t>
      </w:r>
      <w:r w:rsidRPr="002F69C6">
        <w:rPr>
          <w:rFonts w:ascii="黑体" w:eastAsia="黑体" w:hAnsi="黑体" w:cs="Arial"/>
          <w:szCs w:val="21"/>
        </w:rPr>
        <w:t>采用“指数收益法”进行估值</w:t>
      </w:r>
      <w:r w:rsidR="00AB51A8" w:rsidRPr="002F69C6">
        <w:rPr>
          <w:rFonts w:ascii="黑体" w:eastAsia="黑体" w:hAnsi="黑体" w:cs="Arial" w:hint="eastAsia"/>
          <w:szCs w:val="21"/>
        </w:rPr>
        <w:t>；同时，对ETF联接基金持有的标的ETF，在当日份额净值的基础上考虑上述股票的调整因素进行估值。</w:t>
      </w:r>
      <w:r w:rsidRPr="002F69C6">
        <w:rPr>
          <w:rFonts w:ascii="黑体" w:eastAsia="黑体" w:hAnsi="黑体" w:cs="Arial" w:hint="eastAsia"/>
          <w:szCs w:val="21"/>
        </w:rPr>
        <w:t>自上述股票复牌且其交易体现活跃市场交易特征后，本公司将综合参考各项相关影响因素并与基金托管人协商，恢复采用当日收盘价格进行估值，届时不再另行公告</w:t>
      </w:r>
      <w:r w:rsidR="00793788" w:rsidRPr="002F69C6">
        <w:rPr>
          <w:rFonts w:ascii="黑体" w:eastAsia="黑体" w:hAnsi="黑体" w:cs="Arial" w:hint="eastAsia"/>
          <w:szCs w:val="21"/>
        </w:rPr>
        <w:t>，敬请投资者予以关注</w:t>
      </w:r>
      <w:r w:rsidRPr="002F69C6">
        <w:rPr>
          <w:rFonts w:ascii="黑体" w:eastAsia="黑体" w:hAnsi="黑体" w:cs="Arial" w:hint="eastAsia"/>
          <w:szCs w:val="21"/>
        </w:rPr>
        <w:t>。</w:t>
      </w:r>
    </w:p>
    <w:p w:rsidR="00793788" w:rsidRPr="002F69C6" w:rsidRDefault="00793788" w:rsidP="00E426C6">
      <w:pPr>
        <w:spacing w:line="360" w:lineRule="auto"/>
        <w:ind w:firstLineChars="200" w:firstLine="420"/>
        <w:contextualSpacing/>
        <w:mirrorIndents/>
        <w:rPr>
          <w:rFonts w:ascii="黑体" w:eastAsia="黑体" w:hAnsi="黑体" w:cs="Arial"/>
          <w:szCs w:val="21"/>
        </w:rPr>
      </w:pPr>
      <w:r w:rsidRPr="002F69C6">
        <w:rPr>
          <w:rFonts w:ascii="黑体" w:eastAsia="黑体" w:hAnsi="黑体" w:cs="Arial"/>
          <w:szCs w:val="21"/>
        </w:rPr>
        <w:t>特此公告。</w:t>
      </w:r>
    </w:p>
    <w:p w:rsidR="009747EF" w:rsidRPr="002F69C6" w:rsidRDefault="009747EF" w:rsidP="00E426C6">
      <w:pPr>
        <w:spacing w:line="360" w:lineRule="auto"/>
        <w:ind w:firstLineChars="200" w:firstLine="420"/>
        <w:contextualSpacing/>
        <w:mirrorIndents/>
        <w:rPr>
          <w:rFonts w:ascii="黑体" w:eastAsia="黑体" w:hAnsi="黑体" w:cs="Arial"/>
          <w:szCs w:val="21"/>
        </w:rPr>
      </w:pPr>
    </w:p>
    <w:p w:rsidR="00B44C84" w:rsidRPr="002F69C6" w:rsidRDefault="00B44C84" w:rsidP="00E426C6">
      <w:pPr>
        <w:spacing w:line="360" w:lineRule="auto"/>
        <w:contextualSpacing/>
        <w:mirrorIndents/>
        <w:jc w:val="right"/>
        <w:rPr>
          <w:rFonts w:ascii="黑体" w:eastAsia="黑体" w:hAnsi="黑体" w:cs="Arial"/>
          <w:szCs w:val="21"/>
        </w:rPr>
      </w:pPr>
      <w:r w:rsidRPr="002F69C6">
        <w:rPr>
          <w:rFonts w:ascii="黑体" w:eastAsia="黑体" w:hAnsi="黑体" w:cs="Arial"/>
          <w:szCs w:val="21"/>
        </w:rPr>
        <w:t>兴业基金管理有限公司</w:t>
      </w:r>
    </w:p>
    <w:p w:rsidR="00C018CC" w:rsidRDefault="00AB51A8" w:rsidP="00E426C6">
      <w:pPr>
        <w:spacing w:line="360" w:lineRule="auto"/>
        <w:jc w:val="right"/>
        <w:rPr>
          <w:rFonts w:ascii="黑体" w:eastAsia="黑体" w:hAnsi="黑体" w:cs="Arial"/>
          <w:szCs w:val="21"/>
        </w:rPr>
      </w:pPr>
      <w:r w:rsidRPr="002F69C6">
        <w:rPr>
          <w:rFonts w:ascii="黑体" w:eastAsia="黑体" w:hAnsi="黑体" w:cs="Arial"/>
          <w:szCs w:val="21"/>
        </w:rPr>
        <w:t>2025</w:t>
      </w:r>
      <w:r w:rsidR="00B44C84" w:rsidRPr="002F69C6">
        <w:rPr>
          <w:rFonts w:ascii="黑体" w:eastAsia="黑体" w:hAnsi="黑体" w:cs="Arial"/>
          <w:szCs w:val="21"/>
        </w:rPr>
        <w:t>年</w:t>
      </w:r>
      <w:r w:rsidRPr="002F69C6">
        <w:rPr>
          <w:rFonts w:ascii="黑体" w:eastAsia="黑体" w:hAnsi="黑体" w:cs="Arial"/>
          <w:szCs w:val="21"/>
        </w:rPr>
        <w:t>6</w:t>
      </w:r>
      <w:r w:rsidR="00B44C84" w:rsidRPr="002F69C6">
        <w:rPr>
          <w:rFonts w:ascii="黑体" w:eastAsia="黑体" w:hAnsi="黑体" w:cs="Arial"/>
          <w:szCs w:val="21"/>
        </w:rPr>
        <w:t>月</w:t>
      </w:r>
      <w:r w:rsidRPr="002F69C6">
        <w:rPr>
          <w:rFonts w:ascii="黑体" w:eastAsia="黑体" w:hAnsi="黑体" w:cs="Arial"/>
          <w:szCs w:val="21"/>
        </w:rPr>
        <w:t>1</w:t>
      </w:r>
      <w:r w:rsidR="008B4A2E">
        <w:rPr>
          <w:rFonts w:ascii="黑体" w:eastAsia="黑体" w:hAnsi="黑体" w:cs="Arial"/>
          <w:szCs w:val="21"/>
        </w:rPr>
        <w:t>0</w:t>
      </w:r>
      <w:bookmarkStart w:id="0" w:name="_GoBack"/>
      <w:bookmarkEnd w:id="0"/>
      <w:r w:rsidR="00B44C84" w:rsidRPr="002F69C6">
        <w:rPr>
          <w:rFonts w:ascii="黑体" w:eastAsia="黑体" w:hAnsi="黑体" w:cs="Arial"/>
          <w:szCs w:val="21"/>
        </w:rPr>
        <w:t>日</w:t>
      </w:r>
    </w:p>
    <w:p w:rsidR="00A94D42" w:rsidRDefault="00A94D42" w:rsidP="00B44C84">
      <w:pPr>
        <w:jc w:val="right"/>
      </w:pPr>
    </w:p>
    <w:sectPr w:rsidR="00A94D42" w:rsidSect="00C0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A14" w:rsidRDefault="003B6A14" w:rsidP="00B44C84">
      <w:r>
        <w:separator/>
      </w:r>
    </w:p>
  </w:endnote>
  <w:endnote w:type="continuationSeparator" w:id="0">
    <w:p w:rsidR="003B6A14" w:rsidRDefault="003B6A14" w:rsidP="00B44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A14" w:rsidRDefault="003B6A14" w:rsidP="00B44C84">
      <w:r>
        <w:separator/>
      </w:r>
    </w:p>
  </w:footnote>
  <w:footnote w:type="continuationSeparator" w:id="0">
    <w:p w:rsidR="003B6A14" w:rsidRDefault="003B6A14" w:rsidP="00B44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C84"/>
    <w:rsid w:val="00145C7A"/>
    <w:rsid w:val="001A464B"/>
    <w:rsid w:val="002F69C6"/>
    <w:rsid w:val="003A6AE4"/>
    <w:rsid w:val="003B6A14"/>
    <w:rsid w:val="00527DFE"/>
    <w:rsid w:val="005351C8"/>
    <w:rsid w:val="0053635F"/>
    <w:rsid w:val="0056611D"/>
    <w:rsid w:val="006A2B1A"/>
    <w:rsid w:val="006E69E2"/>
    <w:rsid w:val="006F248E"/>
    <w:rsid w:val="00793788"/>
    <w:rsid w:val="007E7322"/>
    <w:rsid w:val="008B4A2E"/>
    <w:rsid w:val="008D4EEB"/>
    <w:rsid w:val="0092739C"/>
    <w:rsid w:val="009747EF"/>
    <w:rsid w:val="00A84CCC"/>
    <w:rsid w:val="00A94D42"/>
    <w:rsid w:val="00AB51A8"/>
    <w:rsid w:val="00B44C84"/>
    <w:rsid w:val="00B62B72"/>
    <w:rsid w:val="00C018CC"/>
    <w:rsid w:val="00C4556D"/>
    <w:rsid w:val="00C53C6C"/>
    <w:rsid w:val="00DD24B4"/>
    <w:rsid w:val="00E00733"/>
    <w:rsid w:val="00E426C6"/>
    <w:rsid w:val="00F01389"/>
    <w:rsid w:val="00F3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C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C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C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37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3788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9378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9378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93788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9378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93788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4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孙佳</dc:creator>
  <cp:keywords/>
  <dc:description/>
  <cp:lastModifiedBy>ZHONGM</cp:lastModifiedBy>
  <cp:revision>2</cp:revision>
  <cp:lastPrinted>2025-06-09T07:38:00Z</cp:lastPrinted>
  <dcterms:created xsi:type="dcterms:W3CDTF">2025-06-09T16:02:00Z</dcterms:created>
  <dcterms:modified xsi:type="dcterms:W3CDTF">2025-06-09T16:02:00Z</dcterms:modified>
</cp:coreProperties>
</file>