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1FD" w:rsidRPr="003B6A87" w:rsidRDefault="00A211FD" w:rsidP="00A211FD">
      <w:pPr>
        <w:pStyle w:val="Default"/>
        <w:rPr>
          <w:rFonts w:ascii="Times New Roman" w:eastAsiaTheme="majorEastAsia" w:hAnsi="Times New Roman" w:cs="Times New Roman"/>
        </w:rPr>
      </w:pPr>
    </w:p>
    <w:p w:rsidR="00A211FD" w:rsidRPr="003B6A87" w:rsidRDefault="00A211FD" w:rsidP="00E96D8F">
      <w:pPr>
        <w:pStyle w:val="Default"/>
        <w:jc w:val="center"/>
        <w:rPr>
          <w:rFonts w:ascii="Times New Roman" w:eastAsiaTheme="majorEastAsia" w:hAnsi="Times New Roman" w:cs="Times New Roman"/>
          <w:b/>
        </w:rPr>
      </w:pPr>
      <w:r w:rsidRPr="003B6A87">
        <w:rPr>
          <w:rFonts w:ascii="Times New Roman" w:eastAsiaTheme="majorEastAsia" w:hAnsi="Times New Roman" w:cs="Times New Roman"/>
          <w:b/>
        </w:rPr>
        <w:t>恒越基金管理有限公司关于旗下基金资产估值方法调整的公告</w:t>
      </w:r>
    </w:p>
    <w:p w:rsidR="00E96D8F" w:rsidRPr="003B6A87" w:rsidRDefault="00E96D8F" w:rsidP="00E96D8F">
      <w:pPr>
        <w:pStyle w:val="Default"/>
        <w:jc w:val="center"/>
        <w:rPr>
          <w:rFonts w:ascii="Times New Roman" w:eastAsiaTheme="majorEastAsia" w:hAnsi="Times New Roman" w:cs="Times New Roman"/>
          <w:b/>
        </w:rPr>
      </w:pPr>
    </w:p>
    <w:p w:rsidR="00E96D8F" w:rsidRPr="003B6A87" w:rsidRDefault="00E96D8F" w:rsidP="00182190">
      <w:pPr>
        <w:pStyle w:val="Default"/>
        <w:ind w:firstLineChars="800" w:firstLine="2880"/>
        <w:rPr>
          <w:rFonts w:ascii="Times New Roman" w:eastAsiaTheme="majorEastAsia" w:hAnsi="Times New Roman" w:cs="Times New Roman"/>
          <w:sz w:val="36"/>
          <w:szCs w:val="36"/>
        </w:rPr>
      </w:pPr>
    </w:p>
    <w:p w:rsidR="00BF5650" w:rsidRPr="003B6A87" w:rsidRDefault="00A211FD" w:rsidP="00E96D8F">
      <w:pPr>
        <w:spacing w:line="360" w:lineRule="auto"/>
        <w:ind w:firstLineChars="200" w:firstLine="420"/>
        <w:rPr>
          <w:rFonts w:ascii="Times New Roman" w:eastAsiaTheme="majorEastAsia" w:hAnsi="Times New Roman" w:cs="Times New Roman"/>
          <w:szCs w:val="21"/>
        </w:rPr>
      </w:pPr>
      <w:r w:rsidRPr="003B6A87">
        <w:rPr>
          <w:rFonts w:ascii="Times New Roman" w:eastAsiaTheme="majorEastAsia" w:hAnsi="Times New Roman" w:cs="Times New Roman"/>
          <w:szCs w:val="21"/>
        </w:rPr>
        <w:t>依据中国证监会《中国证监会关于证券投资基金估值业务的指导意见》（中国证券监督管理委员会公告</w:t>
      </w:r>
      <w:r w:rsidRPr="003B6A87">
        <w:rPr>
          <w:rFonts w:ascii="Times New Roman" w:eastAsiaTheme="majorEastAsia" w:hAnsi="Times New Roman" w:cs="Times New Roman"/>
          <w:szCs w:val="21"/>
        </w:rPr>
        <w:t>[2017]13</w:t>
      </w:r>
      <w:r w:rsidRPr="003B6A87">
        <w:rPr>
          <w:rFonts w:ascii="Times New Roman" w:eastAsiaTheme="majorEastAsia" w:hAnsi="Times New Roman" w:cs="Times New Roman"/>
          <w:szCs w:val="21"/>
        </w:rPr>
        <w:t>号）的有关规定和《关于发布中基协（</w:t>
      </w:r>
      <w:r w:rsidRPr="003B6A87">
        <w:rPr>
          <w:rFonts w:ascii="Times New Roman" w:eastAsiaTheme="majorEastAsia" w:hAnsi="Times New Roman" w:cs="Times New Roman"/>
          <w:szCs w:val="21"/>
        </w:rPr>
        <w:t>AMAC</w:t>
      </w:r>
      <w:r w:rsidRPr="003B6A87">
        <w:rPr>
          <w:rFonts w:ascii="Times New Roman" w:eastAsiaTheme="majorEastAsia" w:hAnsi="Times New Roman" w:cs="Times New Roman"/>
          <w:szCs w:val="21"/>
        </w:rPr>
        <w:t>）基金行业股票估值指数的通知》的指导意见，经与基金托管人协商一致，恒越基金管理有限公司（以下简称</w:t>
      </w:r>
      <w:r w:rsidRPr="003B6A87">
        <w:rPr>
          <w:rFonts w:ascii="Times New Roman" w:eastAsiaTheme="majorEastAsia" w:hAnsi="Times New Roman" w:cs="Times New Roman"/>
          <w:szCs w:val="21"/>
        </w:rPr>
        <w:t>“</w:t>
      </w:r>
      <w:r w:rsidRPr="003B6A87">
        <w:rPr>
          <w:rFonts w:ascii="Times New Roman" w:eastAsiaTheme="majorEastAsia" w:hAnsi="Times New Roman" w:cs="Times New Roman"/>
          <w:szCs w:val="21"/>
        </w:rPr>
        <w:t>本基金管理人</w:t>
      </w:r>
      <w:r w:rsidRPr="003B6A87">
        <w:rPr>
          <w:rFonts w:ascii="Times New Roman" w:eastAsiaTheme="majorEastAsia" w:hAnsi="Times New Roman" w:cs="Times New Roman"/>
          <w:szCs w:val="21"/>
        </w:rPr>
        <w:t>”</w:t>
      </w:r>
      <w:r w:rsidRPr="003B6A87">
        <w:rPr>
          <w:rFonts w:ascii="Times New Roman" w:eastAsiaTheme="majorEastAsia" w:hAnsi="Times New Roman" w:cs="Times New Roman"/>
          <w:szCs w:val="21"/>
        </w:rPr>
        <w:t>）对旗下基金所持有以下停牌股票自</w:t>
      </w:r>
      <w:r w:rsidR="004C2BF8" w:rsidRPr="003B6A87">
        <w:rPr>
          <w:rFonts w:ascii="Times New Roman" w:eastAsiaTheme="majorEastAsia" w:hAnsi="Times New Roman" w:cs="Times New Roman"/>
          <w:szCs w:val="21"/>
        </w:rPr>
        <w:t>20</w:t>
      </w:r>
      <w:r w:rsidR="004C2BF8">
        <w:rPr>
          <w:rFonts w:ascii="Times New Roman" w:eastAsiaTheme="majorEastAsia" w:hAnsi="Times New Roman" w:cs="Times New Roman"/>
          <w:szCs w:val="21"/>
        </w:rPr>
        <w:t>25</w:t>
      </w:r>
      <w:r w:rsidRPr="003B6A87">
        <w:rPr>
          <w:rFonts w:ascii="Times New Roman" w:eastAsiaTheme="majorEastAsia" w:hAnsi="Times New Roman" w:cs="Times New Roman"/>
          <w:szCs w:val="21"/>
        </w:rPr>
        <w:t>年</w:t>
      </w:r>
      <w:r w:rsidR="004C2BF8">
        <w:rPr>
          <w:rFonts w:ascii="Times New Roman" w:eastAsiaTheme="majorEastAsia" w:hAnsi="Times New Roman" w:cs="Times New Roman"/>
          <w:szCs w:val="21"/>
        </w:rPr>
        <w:t>6</w:t>
      </w:r>
      <w:r w:rsidRPr="003B6A87">
        <w:rPr>
          <w:rFonts w:ascii="Times New Roman" w:eastAsiaTheme="majorEastAsia" w:hAnsi="Times New Roman" w:cs="Times New Roman"/>
          <w:szCs w:val="21"/>
        </w:rPr>
        <w:t>月</w:t>
      </w:r>
      <w:r w:rsidR="004C2BF8">
        <w:rPr>
          <w:rFonts w:ascii="Times New Roman" w:eastAsiaTheme="majorEastAsia" w:hAnsi="Times New Roman" w:cs="Times New Roman"/>
          <w:szCs w:val="21"/>
        </w:rPr>
        <w:t>9</w:t>
      </w:r>
      <w:r w:rsidRPr="003B6A87">
        <w:rPr>
          <w:rFonts w:ascii="Times New Roman" w:eastAsiaTheme="majorEastAsia" w:hAnsi="Times New Roman" w:cs="Times New Roman"/>
          <w:szCs w:val="21"/>
        </w:rPr>
        <w:t>日起按照指数收益法进行估值。待以下股票的交易体现活跃市场交易特征后将恢复按市价估值方法进行估值，届时不再另行公告。若未来市场环境发生变化，本基金管理人也可采用其他合理的估值方法进行估值。</w:t>
      </w:r>
    </w:p>
    <w:p w:rsidR="00A211FD" w:rsidRPr="003B6A87" w:rsidRDefault="00A211FD" w:rsidP="00E96D8F">
      <w:pPr>
        <w:spacing w:line="360" w:lineRule="auto"/>
        <w:ind w:firstLineChars="200" w:firstLine="420"/>
        <w:rPr>
          <w:rFonts w:ascii="Times New Roman" w:eastAsiaTheme="majorEastAsia" w:hAnsi="Times New Roman" w:cs="Times New Roman"/>
          <w:szCs w:val="21"/>
        </w:rPr>
      </w:pPr>
    </w:p>
    <w:tbl>
      <w:tblPr>
        <w:tblStyle w:val="a3"/>
        <w:tblW w:w="0" w:type="auto"/>
        <w:tblInd w:w="1242" w:type="dxa"/>
        <w:tblLook w:val="04A0"/>
      </w:tblPr>
      <w:tblGrid>
        <w:gridCol w:w="3084"/>
        <w:gridCol w:w="3150"/>
      </w:tblGrid>
      <w:tr w:rsidR="00A211FD" w:rsidRPr="003B6A87" w:rsidTr="00A211FD">
        <w:trPr>
          <w:trHeight w:val="481"/>
        </w:trPr>
        <w:tc>
          <w:tcPr>
            <w:tcW w:w="3084" w:type="dxa"/>
          </w:tcPr>
          <w:p w:rsidR="00A211FD" w:rsidRPr="003B6A87" w:rsidRDefault="00A211FD" w:rsidP="00A211FD">
            <w:pPr>
              <w:jc w:val="center"/>
              <w:rPr>
                <w:rFonts w:ascii="Times New Roman" w:eastAsiaTheme="majorEastAsia" w:hAnsi="Times New Roman" w:cs="Times New Roman"/>
                <w:szCs w:val="21"/>
              </w:rPr>
            </w:pPr>
            <w:r w:rsidRPr="003B6A87">
              <w:rPr>
                <w:rFonts w:ascii="Times New Roman" w:eastAsiaTheme="majorEastAsia" w:hAnsi="Times New Roman" w:cs="Times New Roman"/>
                <w:szCs w:val="21"/>
              </w:rPr>
              <w:t>股票代码</w:t>
            </w:r>
          </w:p>
        </w:tc>
        <w:tc>
          <w:tcPr>
            <w:tcW w:w="3150" w:type="dxa"/>
          </w:tcPr>
          <w:p w:rsidR="00A211FD" w:rsidRPr="003B6A87" w:rsidRDefault="00A211FD" w:rsidP="00A211FD">
            <w:pPr>
              <w:jc w:val="center"/>
              <w:rPr>
                <w:rFonts w:ascii="Times New Roman" w:eastAsiaTheme="majorEastAsia" w:hAnsi="Times New Roman" w:cs="Times New Roman"/>
                <w:szCs w:val="21"/>
              </w:rPr>
            </w:pPr>
            <w:r w:rsidRPr="003B6A87">
              <w:rPr>
                <w:rFonts w:ascii="Times New Roman" w:eastAsiaTheme="majorEastAsia" w:hAnsi="Times New Roman" w:cs="Times New Roman"/>
                <w:szCs w:val="21"/>
              </w:rPr>
              <w:t>股票名称</w:t>
            </w:r>
          </w:p>
        </w:tc>
      </w:tr>
      <w:tr w:rsidR="00A211FD" w:rsidRPr="003B6A87" w:rsidTr="00A211FD">
        <w:trPr>
          <w:trHeight w:val="403"/>
        </w:trPr>
        <w:tc>
          <w:tcPr>
            <w:tcW w:w="3084" w:type="dxa"/>
          </w:tcPr>
          <w:p w:rsidR="00A211FD" w:rsidRPr="003B6A87" w:rsidRDefault="004C2BF8" w:rsidP="00842BD4">
            <w:pPr>
              <w:jc w:val="center"/>
              <w:rPr>
                <w:rFonts w:ascii="Times New Roman" w:eastAsiaTheme="majorEastAsia" w:hAnsi="Times New Roman" w:cs="Times New Roman"/>
                <w:szCs w:val="21"/>
              </w:rPr>
            </w:pPr>
            <w:r>
              <w:rPr>
                <w:rFonts w:ascii="Times New Roman" w:eastAsiaTheme="majorEastAsia" w:hAnsi="Times New Roman" w:cs="Times New Roman"/>
                <w:szCs w:val="21"/>
              </w:rPr>
              <w:t>688041</w:t>
            </w:r>
          </w:p>
        </w:tc>
        <w:tc>
          <w:tcPr>
            <w:tcW w:w="3150" w:type="dxa"/>
          </w:tcPr>
          <w:p w:rsidR="00A211FD" w:rsidRPr="003B6A87" w:rsidRDefault="004C2BF8" w:rsidP="00842BD4">
            <w:pPr>
              <w:jc w:val="center"/>
              <w:rPr>
                <w:rFonts w:ascii="Times New Roman" w:eastAsiaTheme="majorEastAsia" w:hAnsi="Times New Roman" w:cs="Times New Roman"/>
                <w:szCs w:val="21"/>
              </w:rPr>
            </w:pPr>
            <w:r>
              <w:rPr>
                <w:rFonts w:ascii="Times New Roman" w:eastAsiaTheme="majorEastAsia" w:hAnsi="Times New Roman" w:cs="Times New Roman" w:hint="eastAsia"/>
                <w:szCs w:val="21"/>
              </w:rPr>
              <w:t>海光信息</w:t>
            </w:r>
          </w:p>
        </w:tc>
      </w:tr>
    </w:tbl>
    <w:p w:rsidR="00A211FD" w:rsidRPr="003B6A87" w:rsidRDefault="00A211FD" w:rsidP="00E96D8F">
      <w:pPr>
        <w:spacing w:line="360" w:lineRule="auto"/>
        <w:ind w:firstLineChars="200" w:firstLine="420"/>
        <w:rPr>
          <w:rFonts w:ascii="Times New Roman" w:eastAsiaTheme="majorEastAsia" w:hAnsi="Times New Roman" w:cs="Times New Roman"/>
          <w:szCs w:val="21"/>
        </w:rPr>
      </w:pPr>
    </w:p>
    <w:p w:rsidR="00A211FD" w:rsidRPr="003B6A87" w:rsidRDefault="00A211FD" w:rsidP="00E96D8F">
      <w:pPr>
        <w:spacing w:line="360" w:lineRule="auto"/>
        <w:ind w:firstLineChars="200" w:firstLine="420"/>
        <w:rPr>
          <w:rFonts w:ascii="Times New Roman" w:eastAsiaTheme="majorEastAsia" w:hAnsi="Times New Roman" w:cs="Times New Roman"/>
          <w:szCs w:val="21"/>
        </w:rPr>
      </w:pPr>
      <w:r w:rsidRPr="003B6A87">
        <w:rPr>
          <w:rFonts w:ascii="Times New Roman" w:eastAsiaTheme="majorEastAsia" w:hAnsi="Times New Roman" w:cs="Times New Roman"/>
          <w:szCs w:val="21"/>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r w:rsidRPr="003B6A87">
        <w:rPr>
          <w:rFonts w:ascii="Times New Roman" w:eastAsiaTheme="majorEastAsia" w:hAnsi="Times New Roman" w:cs="Times New Roman"/>
          <w:szCs w:val="21"/>
        </w:rPr>
        <w:t xml:space="preserve"> </w:t>
      </w:r>
      <w:r w:rsidRPr="003B6A87">
        <w:rPr>
          <w:rFonts w:ascii="Times New Roman" w:eastAsiaTheme="majorEastAsia" w:hAnsi="Times New Roman" w:cs="Times New Roman"/>
          <w:szCs w:val="21"/>
        </w:rPr>
        <w:br/>
        <w:t xml:space="preserve">    </w:t>
      </w:r>
    </w:p>
    <w:p w:rsidR="00A211FD" w:rsidRPr="003B6A87" w:rsidRDefault="00A211FD" w:rsidP="00E96D8F">
      <w:pPr>
        <w:spacing w:line="360" w:lineRule="auto"/>
        <w:ind w:firstLineChars="200" w:firstLine="420"/>
        <w:rPr>
          <w:rFonts w:ascii="Times New Roman" w:eastAsiaTheme="majorEastAsia" w:hAnsi="Times New Roman" w:cs="Times New Roman"/>
          <w:szCs w:val="21"/>
        </w:rPr>
      </w:pPr>
      <w:r w:rsidRPr="003B6A87">
        <w:rPr>
          <w:rFonts w:ascii="Times New Roman" w:eastAsiaTheme="majorEastAsia" w:hAnsi="Times New Roman" w:cs="Times New Roman"/>
          <w:szCs w:val="21"/>
        </w:rPr>
        <w:t>特此公告。</w:t>
      </w:r>
    </w:p>
    <w:p w:rsidR="00A211FD" w:rsidRPr="003B6A87" w:rsidRDefault="00A211FD" w:rsidP="00A211FD">
      <w:pPr>
        <w:rPr>
          <w:rFonts w:ascii="Times New Roman" w:eastAsiaTheme="majorEastAsia" w:hAnsi="Times New Roman" w:cs="Times New Roman"/>
          <w:szCs w:val="21"/>
        </w:rPr>
      </w:pPr>
    </w:p>
    <w:p w:rsidR="00A211FD" w:rsidRPr="003B6A87" w:rsidRDefault="00A211FD" w:rsidP="00A211FD">
      <w:pPr>
        <w:rPr>
          <w:rFonts w:ascii="Times New Roman" w:eastAsiaTheme="majorEastAsia" w:hAnsi="Times New Roman" w:cs="Times New Roman"/>
          <w:szCs w:val="21"/>
        </w:rPr>
      </w:pPr>
    </w:p>
    <w:p w:rsidR="00A211FD" w:rsidRPr="003B6A87" w:rsidRDefault="00A211FD" w:rsidP="00A211FD">
      <w:pPr>
        <w:jc w:val="center"/>
        <w:rPr>
          <w:rFonts w:ascii="Times New Roman" w:eastAsiaTheme="majorEastAsia" w:hAnsi="Times New Roman" w:cs="Times New Roman"/>
          <w:szCs w:val="21"/>
        </w:rPr>
      </w:pPr>
    </w:p>
    <w:p w:rsidR="00A211FD" w:rsidRPr="003B6A87" w:rsidRDefault="00A211FD" w:rsidP="00A211FD">
      <w:pPr>
        <w:jc w:val="center"/>
        <w:rPr>
          <w:rFonts w:ascii="Times New Roman" w:eastAsiaTheme="majorEastAsia" w:hAnsi="Times New Roman" w:cs="Times New Roman"/>
          <w:szCs w:val="21"/>
        </w:rPr>
      </w:pPr>
    </w:p>
    <w:p w:rsidR="00A211FD" w:rsidRPr="003B6A87" w:rsidRDefault="00A211FD" w:rsidP="00A211FD">
      <w:pPr>
        <w:jc w:val="center"/>
        <w:rPr>
          <w:rFonts w:ascii="Times New Roman" w:eastAsiaTheme="majorEastAsia" w:hAnsi="Times New Roman" w:cs="Times New Roman"/>
          <w:szCs w:val="21"/>
        </w:rPr>
      </w:pPr>
    </w:p>
    <w:p w:rsidR="00A211FD" w:rsidRPr="003B6A87" w:rsidRDefault="00A211FD" w:rsidP="00A211FD">
      <w:pPr>
        <w:jc w:val="center"/>
        <w:rPr>
          <w:rFonts w:ascii="Times New Roman" w:eastAsiaTheme="majorEastAsia" w:hAnsi="Times New Roman" w:cs="Times New Roman"/>
          <w:szCs w:val="21"/>
        </w:rPr>
      </w:pPr>
    </w:p>
    <w:p w:rsidR="00A211FD" w:rsidRPr="003B6A87" w:rsidRDefault="00A211FD" w:rsidP="00A211FD">
      <w:pPr>
        <w:jc w:val="center"/>
        <w:rPr>
          <w:rFonts w:ascii="Times New Roman" w:eastAsiaTheme="majorEastAsia" w:hAnsi="Times New Roman" w:cs="Times New Roman"/>
          <w:szCs w:val="21"/>
        </w:rPr>
      </w:pPr>
      <w:r w:rsidRPr="003B6A87">
        <w:rPr>
          <w:rFonts w:ascii="Times New Roman" w:eastAsiaTheme="majorEastAsia" w:hAnsi="Times New Roman" w:cs="Times New Roman"/>
          <w:szCs w:val="21"/>
        </w:rPr>
        <w:t xml:space="preserve">                                      </w:t>
      </w:r>
      <w:r w:rsidRPr="003B6A87">
        <w:rPr>
          <w:rFonts w:ascii="Times New Roman" w:eastAsiaTheme="majorEastAsia" w:hAnsi="Times New Roman" w:cs="Times New Roman"/>
          <w:szCs w:val="21"/>
        </w:rPr>
        <w:t>恒越基金管理有限公司</w:t>
      </w:r>
      <w:r w:rsidRPr="003B6A87">
        <w:rPr>
          <w:rFonts w:ascii="Times New Roman" w:eastAsiaTheme="majorEastAsia" w:hAnsi="Times New Roman" w:cs="Times New Roman"/>
          <w:szCs w:val="21"/>
        </w:rPr>
        <w:t xml:space="preserve"> </w:t>
      </w:r>
      <w:r w:rsidRPr="003B6A87">
        <w:rPr>
          <w:rFonts w:ascii="Times New Roman" w:eastAsiaTheme="majorEastAsia" w:hAnsi="Times New Roman" w:cs="Times New Roman"/>
          <w:szCs w:val="21"/>
        </w:rPr>
        <w:br/>
      </w:r>
      <w:r w:rsidR="00FA78EA" w:rsidRPr="003B6A87">
        <w:rPr>
          <w:rFonts w:ascii="Times New Roman" w:eastAsiaTheme="majorEastAsia" w:hAnsi="Times New Roman" w:cs="Times New Roman"/>
          <w:szCs w:val="21"/>
        </w:rPr>
        <w:t xml:space="preserve">              </w:t>
      </w:r>
      <w:r w:rsidRPr="003B6A87">
        <w:rPr>
          <w:rFonts w:ascii="Times New Roman" w:eastAsiaTheme="majorEastAsia" w:hAnsi="Times New Roman" w:cs="Times New Roman"/>
          <w:szCs w:val="21"/>
        </w:rPr>
        <w:t xml:space="preserve">                        </w:t>
      </w:r>
      <w:r w:rsidR="004C2BF8" w:rsidRPr="003B6A87">
        <w:rPr>
          <w:rFonts w:ascii="Times New Roman" w:eastAsiaTheme="majorEastAsia" w:hAnsi="Times New Roman" w:cs="Times New Roman"/>
          <w:szCs w:val="21"/>
        </w:rPr>
        <w:t>20</w:t>
      </w:r>
      <w:r w:rsidR="004C2BF8">
        <w:rPr>
          <w:rFonts w:ascii="Times New Roman" w:eastAsiaTheme="majorEastAsia" w:hAnsi="Times New Roman" w:cs="Times New Roman"/>
          <w:szCs w:val="21"/>
        </w:rPr>
        <w:t>25</w:t>
      </w:r>
      <w:r w:rsidRPr="003B6A87">
        <w:rPr>
          <w:rFonts w:ascii="Times New Roman" w:eastAsiaTheme="majorEastAsia" w:hAnsi="Times New Roman" w:cs="Times New Roman"/>
          <w:szCs w:val="21"/>
        </w:rPr>
        <w:t>年</w:t>
      </w:r>
      <w:r w:rsidR="004C2BF8">
        <w:rPr>
          <w:rFonts w:ascii="Times New Roman" w:eastAsiaTheme="majorEastAsia" w:hAnsi="Times New Roman" w:cs="Times New Roman"/>
          <w:szCs w:val="21"/>
        </w:rPr>
        <w:t>6</w:t>
      </w:r>
      <w:r w:rsidRPr="003B6A87">
        <w:rPr>
          <w:rFonts w:ascii="Times New Roman" w:eastAsiaTheme="majorEastAsia" w:hAnsi="Times New Roman" w:cs="Times New Roman"/>
          <w:szCs w:val="21"/>
        </w:rPr>
        <w:t>月</w:t>
      </w:r>
      <w:r w:rsidR="004C2BF8">
        <w:rPr>
          <w:rFonts w:ascii="Times New Roman" w:eastAsiaTheme="majorEastAsia" w:hAnsi="Times New Roman" w:cs="Times New Roman"/>
          <w:szCs w:val="21"/>
        </w:rPr>
        <w:t>10</w:t>
      </w:r>
      <w:r w:rsidRPr="003B6A87">
        <w:rPr>
          <w:rFonts w:ascii="Times New Roman" w:eastAsiaTheme="majorEastAsia" w:hAnsi="Times New Roman" w:cs="Times New Roman"/>
          <w:szCs w:val="21"/>
        </w:rPr>
        <w:t>日</w:t>
      </w:r>
    </w:p>
    <w:sectPr w:rsidR="00A211FD" w:rsidRPr="003B6A87" w:rsidSect="00FF3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4AF" w:rsidRDefault="000024AF" w:rsidP="00842BD4">
      <w:r>
        <w:separator/>
      </w:r>
    </w:p>
  </w:endnote>
  <w:endnote w:type="continuationSeparator" w:id="0">
    <w:p w:rsidR="000024AF" w:rsidRDefault="000024AF" w:rsidP="00842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4AF" w:rsidRDefault="000024AF" w:rsidP="00842BD4">
      <w:r>
        <w:separator/>
      </w:r>
    </w:p>
  </w:footnote>
  <w:footnote w:type="continuationSeparator" w:id="0">
    <w:p w:rsidR="000024AF" w:rsidRDefault="000024AF" w:rsidP="00842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11FD"/>
    <w:rsid w:val="000024AF"/>
    <w:rsid w:val="000F7239"/>
    <w:rsid w:val="00182190"/>
    <w:rsid w:val="003B6A87"/>
    <w:rsid w:val="004110D6"/>
    <w:rsid w:val="004C2BF8"/>
    <w:rsid w:val="004E4E1E"/>
    <w:rsid w:val="0071470D"/>
    <w:rsid w:val="00794E0C"/>
    <w:rsid w:val="00842BD4"/>
    <w:rsid w:val="00856C3E"/>
    <w:rsid w:val="00A211FD"/>
    <w:rsid w:val="00BF5650"/>
    <w:rsid w:val="00CC4A72"/>
    <w:rsid w:val="00E05B2E"/>
    <w:rsid w:val="00E96D8F"/>
    <w:rsid w:val="00FA78EA"/>
    <w:rsid w:val="00FF3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11FD"/>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A21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42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2BD4"/>
    <w:rPr>
      <w:sz w:val="18"/>
      <w:szCs w:val="18"/>
    </w:rPr>
  </w:style>
  <w:style w:type="paragraph" w:styleId="a5">
    <w:name w:val="footer"/>
    <w:basedOn w:val="a"/>
    <w:link w:val="Char0"/>
    <w:uiPriority w:val="99"/>
    <w:unhideWhenUsed/>
    <w:rsid w:val="00842BD4"/>
    <w:pPr>
      <w:tabs>
        <w:tab w:val="center" w:pos="4153"/>
        <w:tab w:val="right" w:pos="8306"/>
      </w:tabs>
      <w:snapToGrid w:val="0"/>
      <w:jc w:val="left"/>
    </w:pPr>
    <w:rPr>
      <w:sz w:val="18"/>
      <w:szCs w:val="18"/>
    </w:rPr>
  </w:style>
  <w:style w:type="character" w:customStyle="1" w:styleId="Char0">
    <w:name w:val="页脚 Char"/>
    <w:basedOn w:val="a0"/>
    <w:link w:val="a5"/>
    <w:uiPriority w:val="99"/>
    <w:rsid w:val="00842BD4"/>
    <w:rPr>
      <w:sz w:val="18"/>
      <w:szCs w:val="18"/>
    </w:rPr>
  </w:style>
  <w:style w:type="paragraph" w:styleId="a6">
    <w:name w:val="Balloon Text"/>
    <w:basedOn w:val="a"/>
    <w:link w:val="Char1"/>
    <w:uiPriority w:val="99"/>
    <w:semiHidden/>
    <w:unhideWhenUsed/>
    <w:rsid w:val="004C2BF8"/>
    <w:rPr>
      <w:sz w:val="18"/>
      <w:szCs w:val="18"/>
    </w:rPr>
  </w:style>
  <w:style w:type="character" w:customStyle="1" w:styleId="Char1">
    <w:name w:val="批注框文本 Char"/>
    <w:basedOn w:val="a0"/>
    <w:link w:val="a6"/>
    <w:uiPriority w:val="99"/>
    <w:semiHidden/>
    <w:rsid w:val="004C2BF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4</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冯瑜</dc:creator>
  <cp:lastModifiedBy>ZHONGM</cp:lastModifiedBy>
  <cp:revision>2</cp:revision>
  <dcterms:created xsi:type="dcterms:W3CDTF">2025-06-09T16:01:00Z</dcterms:created>
  <dcterms:modified xsi:type="dcterms:W3CDTF">2025-06-09T16:01:00Z</dcterms:modified>
</cp:coreProperties>
</file>