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46" w:rsidRPr="00207C4D" w:rsidRDefault="002F6269" w:rsidP="00744CC8">
      <w:pPr>
        <w:pStyle w:val="a3"/>
        <w:spacing w:before="0" w:beforeAutospacing="0" w:after="0" w:afterAutospacing="0" w:line="360" w:lineRule="auto"/>
        <w:ind w:firstLine="482"/>
        <w:jc w:val="center"/>
        <w:rPr>
          <w:rFonts w:ascii="Times New Roman" w:hAnsi="Times New Roman" w:hint="eastAsia"/>
          <w:b/>
          <w:color w:val="000000"/>
          <w:szCs w:val="21"/>
        </w:rPr>
      </w:pPr>
      <w:hyperlink r:id="rId6" w:tgtFrame="_blank" w:history="1"/>
      <w:r w:rsidR="00F753D8" w:rsidRPr="00207C4D">
        <w:rPr>
          <w:rFonts w:ascii="Times New Roman" w:hAnsi="Times New Roman" w:hint="eastAsia"/>
          <w:b/>
          <w:color w:val="000000"/>
          <w:szCs w:val="21"/>
        </w:rPr>
        <w:t>摩根基金管理（中国）有限公司</w:t>
      </w:r>
    </w:p>
    <w:p w:rsidR="0007256C" w:rsidRPr="00207C4D" w:rsidRDefault="0007256C" w:rsidP="00744CC8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b/>
          <w:color w:val="000000"/>
          <w:szCs w:val="21"/>
        </w:rPr>
      </w:pPr>
      <w:r w:rsidRPr="00207C4D">
        <w:rPr>
          <w:rFonts w:ascii="Times New Roman" w:hAnsi="Times New Roman" w:hint="eastAsia"/>
          <w:b/>
          <w:color w:val="000000"/>
          <w:szCs w:val="21"/>
        </w:rPr>
        <w:t>关于旗下基金</w:t>
      </w:r>
      <w:r w:rsidR="00122A52" w:rsidRPr="00207C4D">
        <w:rPr>
          <w:rFonts w:ascii="Times New Roman" w:hAnsi="Times New Roman" w:hint="eastAsia"/>
          <w:b/>
          <w:color w:val="000000"/>
          <w:szCs w:val="21"/>
        </w:rPr>
        <w:t>所持停牌股票估值调整的</w:t>
      </w:r>
      <w:r w:rsidRPr="00207C4D">
        <w:rPr>
          <w:rFonts w:ascii="Times New Roman" w:hAnsi="Times New Roman" w:hint="eastAsia"/>
          <w:b/>
          <w:color w:val="000000"/>
          <w:szCs w:val="21"/>
        </w:rPr>
        <w:t>公告</w:t>
      </w:r>
    </w:p>
    <w:p w:rsidR="0007256C" w:rsidRPr="00207C4D" w:rsidRDefault="0007256C" w:rsidP="001C0842">
      <w:pPr>
        <w:pStyle w:val="a3"/>
        <w:spacing w:before="0" w:beforeAutospacing="0" w:after="0" w:afterAutospacing="0" w:line="360" w:lineRule="auto"/>
        <w:ind w:firstLine="482"/>
        <w:rPr>
          <w:rFonts w:ascii="Times New Roman" w:hAnsi="Times New Roman"/>
          <w:color w:val="000000"/>
          <w:szCs w:val="21"/>
        </w:rPr>
      </w:pPr>
    </w:p>
    <w:p w:rsidR="00FC4461" w:rsidRPr="00207C4D" w:rsidRDefault="004E1295" w:rsidP="00F753D8">
      <w:pPr>
        <w:pStyle w:val="a3"/>
        <w:spacing w:before="0" w:beforeAutospacing="0" w:after="0" w:afterAutospacing="0" w:line="360" w:lineRule="auto"/>
        <w:ind w:firstLine="482"/>
        <w:jc w:val="both"/>
        <w:rPr>
          <w:rFonts w:cs="Times New Roman"/>
          <w:color w:val="000000"/>
          <w:szCs w:val="21"/>
        </w:rPr>
      </w:pPr>
      <w:r w:rsidRPr="00207C4D">
        <w:rPr>
          <w:rFonts w:hint="eastAsia"/>
          <w:color w:val="000000"/>
          <w:szCs w:val="21"/>
        </w:rPr>
        <w:t>根据</w:t>
      </w:r>
      <w:r w:rsidR="00D32853" w:rsidRPr="00207C4D">
        <w:rPr>
          <w:rFonts w:hint="eastAsia"/>
          <w:color w:val="000000"/>
          <w:szCs w:val="21"/>
        </w:rPr>
        <w:t>《中国证监会关于证券投资基金估值业务的指导意见》</w:t>
      </w:r>
      <w:r w:rsidRPr="00207C4D">
        <w:rPr>
          <w:color w:val="000000"/>
          <w:szCs w:val="21"/>
        </w:rPr>
        <w:t>（</w:t>
      </w:r>
      <w:r w:rsidR="004C6EA2" w:rsidRPr="00207C4D">
        <w:rPr>
          <w:rFonts w:hint="eastAsia"/>
          <w:color w:val="000000"/>
          <w:szCs w:val="21"/>
        </w:rPr>
        <w:t>中国证券监督管理委员会公告[2017]13号</w:t>
      </w:r>
      <w:r w:rsidRPr="00207C4D">
        <w:rPr>
          <w:color w:val="000000"/>
          <w:szCs w:val="21"/>
        </w:rPr>
        <w:t>）</w:t>
      </w:r>
      <w:r w:rsidRPr="00207C4D">
        <w:rPr>
          <w:rFonts w:hint="eastAsia"/>
          <w:color w:val="000000"/>
          <w:szCs w:val="21"/>
        </w:rPr>
        <w:t>，</w:t>
      </w:r>
      <w:r w:rsidR="00B70D70" w:rsidRPr="00207C4D">
        <w:rPr>
          <w:rFonts w:hint="eastAsia"/>
          <w:color w:val="000000"/>
          <w:szCs w:val="21"/>
        </w:rPr>
        <w:t>经与托管行协商一致，</w:t>
      </w:r>
      <w:r w:rsidR="00DF3706" w:rsidRPr="00207C4D">
        <w:rPr>
          <w:rFonts w:hint="eastAsia"/>
          <w:color w:val="000000"/>
          <w:szCs w:val="21"/>
        </w:rPr>
        <w:t>本公司</w:t>
      </w:r>
      <w:r w:rsidR="00567232" w:rsidRPr="00207C4D">
        <w:rPr>
          <w:rFonts w:hint="eastAsia"/>
          <w:color w:val="000000"/>
          <w:szCs w:val="21"/>
        </w:rPr>
        <w:t>决定</w:t>
      </w:r>
      <w:r w:rsidR="00D45946" w:rsidRPr="00207C4D">
        <w:rPr>
          <w:rFonts w:hint="eastAsia"/>
          <w:color w:val="000000"/>
          <w:szCs w:val="21"/>
        </w:rPr>
        <w:t>对</w:t>
      </w:r>
      <w:r w:rsidR="00DF3706" w:rsidRPr="00207C4D">
        <w:rPr>
          <w:rFonts w:hint="eastAsia"/>
          <w:color w:val="000000"/>
          <w:szCs w:val="21"/>
        </w:rPr>
        <w:t>旗下基金</w:t>
      </w:r>
      <w:r w:rsidR="00F753D8" w:rsidRPr="00207C4D">
        <w:rPr>
          <w:rFonts w:hint="eastAsia"/>
          <w:color w:val="000000"/>
          <w:szCs w:val="21"/>
        </w:rPr>
        <w:t>（ETF除外）</w:t>
      </w:r>
      <w:r w:rsidRPr="00207C4D">
        <w:rPr>
          <w:rFonts w:hint="eastAsia"/>
          <w:color w:val="000000"/>
          <w:szCs w:val="21"/>
        </w:rPr>
        <w:t>所</w:t>
      </w:r>
      <w:r w:rsidR="00DF3706" w:rsidRPr="00207C4D">
        <w:rPr>
          <w:rFonts w:hint="eastAsia"/>
          <w:color w:val="000000"/>
          <w:szCs w:val="21"/>
        </w:rPr>
        <w:t>持有的</w:t>
      </w:r>
      <w:r w:rsidR="00E1711F" w:rsidRPr="00207C4D">
        <w:rPr>
          <w:rFonts w:hint="eastAsia"/>
          <w:color w:val="000000"/>
          <w:szCs w:val="21"/>
        </w:rPr>
        <w:t>停牌</w:t>
      </w:r>
      <w:r w:rsidR="00651498" w:rsidRPr="00207C4D">
        <w:rPr>
          <w:rFonts w:hint="eastAsia"/>
          <w:color w:val="000000"/>
          <w:szCs w:val="21"/>
        </w:rPr>
        <w:t>股票</w:t>
      </w:r>
      <w:r w:rsidR="00E5132E" w:rsidRPr="00E5132E">
        <w:rPr>
          <w:rFonts w:hint="eastAsia"/>
          <w:color w:val="000000"/>
        </w:rPr>
        <w:t>海光信息</w:t>
      </w:r>
      <w:r w:rsidR="00EA4209" w:rsidRPr="00207C4D">
        <w:rPr>
          <w:rFonts w:hint="eastAsia"/>
          <w:color w:val="000000"/>
        </w:rPr>
        <w:t>（</w:t>
      </w:r>
      <w:r w:rsidR="00E5132E" w:rsidRPr="00207C4D">
        <w:rPr>
          <w:rFonts w:hint="eastAsia"/>
          <w:color w:val="000000"/>
        </w:rPr>
        <w:t>6</w:t>
      </w:r>
      <w:r w:rsidR="00E5132E">
        <w:rPr>
          <w:color w:val="000000"/>
        </w:rPr>
        <w:t>88041</w:t>
      </w:r>
      <w:r w:rsidR="00EA4209" w:rsidRPr="00207C4D">
        <w:rPr>
          <w:rFonts w:hint="eastAsia"/>
          <w:color w:val="000000"/>
        </w:rPr>
        <w:t>）</w:t>
      </w:r>
      <w:r w:rsidR="008E6948" w:rsidRPr="00207C4D">
        <w:rPr>
          <w:rFonts w:cs="Times New Roman"/>
          <w:color w:val="000000"/>
          <w:szCs w:val="21"/>
        </w:rPr>
        <w:t>自</w:t>
      </w:r>
      <w:r w:rsidR="001106DC" w:rsidRPr="00207C4D">
        <w:rPr>
          <w:rFonts w:cs="Times New Roman"/>
          <w:color w:val="000000"/>
          <w:szCs w:val="21"/>
        </w:rPr>
        <w:t>2025年</w:t>
      </w:r>
      <w:r w:rsidR="001106DC">
        <w:rPr>
          <w:rFonts w:cs="Times New Roman"/>
          <w:color w:val="000000"/>
          <w:szCs w:val="21"/>
        </w:rPr>
        <w:t>6</w:t>
      </w:r>
      <w:r w:rsidR="00EC0984" w:rsidRPr="00207C4D">
        <w:rPr>
          <w:rFonts w:cs="Times New Roman"/>
          <w:color w:val="000000"/>
          <w:szCs w:val="21"/>
        </w:rPr>
        <w:t>月</w:t>
      </w:r>
      <w:r w:rsidR="001106DC">
        <w:rPr>
          <w:rFonts w:cs="Times New Roman"/>
          <w:color w:val="000000"/>
          <w:szCs w:val="21"/>
        </w:rPr>
        <w:t>6</w:t>
      </w:r>
      <w:r w:rsidR="00122A52" w:rsidRPr="00207C4D">
        <w:rPr>
          <w:rFonts w:cs="Times New Roman"/>
          <w:color w:val="000000"/>
          <w:szCs w:val="21"/>
        </w:rPr>
        <w:t>日</w:t>
      </w:r>
      <w:r w:rsidR="008E6948" w:rsidRPr="00207C4D">
        <w:rPr>
          <w:rFonts w:cs="Times New Roman"/>
          <w:color w:val="000000"/>
          <w:szCs w:val="21"/>
        </w:rPr>
        <w:t>起</w:t>
      </w:r>
      <w:r w:rsidR="00585552" w:rsidRPr="00207C4D">
        <w:rPr>
          <w:rFonts w:cs="Times New Roman"/>
          <w:color w:val="000000"/>
          <w:szCs w:val="21"/>
        </w:rPr>
        <w:t>采用</w:t>
      </w:r>
      <w:r w:rsidR="00122A52" w:rsidRPr="00207C4D">
        <w:rPr>
          <w:rFonts w:cs="Times New Roman"/>
          <w:color w:val="000000"/>
          <w:szCs w:val="21"/>
        </w:rPr>
        <w:t>指数收益法进行估值</w:t>
      </w:r>
      <w:r w:rsidR="00FC4461" w:rsidRPr="00207C4D">
        <w:rPr>
          <w:rFonts w:cs="Times New Roman"/>
          <w:color w:val="000000"/>
          <w:szCs w:val="21"/>
        </w:rPr>
        <w:t>。</w:t>
      </w:r>
      <w:r w:rsidR="00E74B69" w:rsidRPr="000004E6">
        <w:rPr>
          <w:rFonts w:cs="Times New Roman" w:hint="eastAsia"/>
          <w:szCs w:val="21"/>
        </w:rPr>
        <w:t>同时，对ETF联接基金持有的相关标的ETF，考虑上述股票估值调整因素对标的ETF份额净值的影响后进行估值。</w:t>
      </w:r>
    </w:p>
    <w:p w:rsidR="00027A0B" w:rsidRPr="00207C4D" w:rsidRDefault="00027A0B" w:rsidP="001C0842">
      <w:pPr>
        <w:pStyle w:val="a3"/>
        <w:spacing w:before="0" w:beforeAutospacing="0" w:after="0" w:afterAutospacing="0" w:line="360" w:lineRule="auto"/>
        <w:ind w:firstLine="482"/>
        <w:jc w:val="both"/>
        <w:rPr>
          <w:rFonts w:hint="eastAsia"/>
          <w:color w:val="000000"/>
          <w:szCs w:val="21"/>
        </w:rPr>
      </w:pPr>
    </w:p>
    <w:p w:rsidR="00C40F9E" w:rsidRDefault="00385EBB" w:rsidP="001C0842">
      <w:pPr>
        <w:pStyle w:val="a3"/>
        <w:spacing w:before="0" w:beforeAutospacing="0" w:after="0" w:afterAutospacing="0" w:line="360" w:lineRule="auto"/>
        <w:ind w:firstLine="482"/>
        <w:rPr>
          <w:color w:val="000000"/>
          <w:szCs w:val="21"/>
        </w:rPr>
      </w:pPr>
      <w:r w:rsidRPr="00207C4D">
        <w:rPr>
          <w:rFonts w:hint="eastAsia"/>
          <w:color w:val="000000"/>
          <w:szCs w:val="21"/>
        </w:rPr>
        <w:t>待上述股票复牌且其交易体现了活跃市场交易特征后，将恢复为采用当日收盘价格进行估值，</w:t>
      </w:r>
      <w:r w:rsidR="0039799C" w:rsidRPr="0039799C">
        <w:rPr>
          <w:rFonts w:hint="eastAsia"/>
          <w:color w:val="000000"/>
          <w:szCs w:val="21"/>
        </w:rPr>
        <w:t>ETF联接基金持有的相关标的ETF将恢复采用当日份额净值进行估值，届时不再另行公告。</w:t>
      </w:r>
    </w:p>
    <w:p w:rsidR="00C64FF7" w:rsidRPr="00207C4D" w:rsidRDefault="00C64FF7" w:rsidP="001C0842">
      <w:pPr>
        <w:pStyle w:val="a3"/>
        <w:spacing w:before="0" w:beforeAutospacing="0" w:after="0" w:afterAutospacing="0" w:line="360" w:lineRule="auto"/>
        <w:ind w:firstLine="482"/>
        <w:rPr>
          <w:rFonts w:hint="eastAsia"/>
          <w:color w:val="000000"/>
          <w:szCs w:val="21"/>
        </w:rPr>
      </w:pPr>
    </w:p>
    <w:p w:rsidR="00813D24" w:rsidRPr="00207C4D" w:rsidRDefault="008274BD" w:rsidP="001C0842">
      <w:pPr>
        <w:pStyle w:val="a3"/>
        <w:spacing w:before="0" w:beforeAutospacing="0" w:after="0" w:afterAutospacing="0" w:line="360" w:lineRule="auto"/>
        <w:ind w:firstLine="482"/>
        <w:rPr>
          <w:color w:val="000000"/>
          <w:szCs w:val="21"/>
        </w:rPr>
      </w:pPr>
      <w:r w:rsidRPr="00207C4D">
        <w:rPr>
          <w:rFonts w:hint="eastAsia"/>
          <w:color w:val="000000"/>
          <w:szCs w:val="21"/>
        </w:rPr>
        <w:t>特此公告。</w:t>
      </w:r>
    </w:p>
    <w:p w:rsidR="00413070" w:rsidRPr="00207C4D" w:rsidRDefault="00413070" w:rsidP="001C0842">
      <w:pPr>
        <w:pStyle w:val="a3"/>
        <w:spacing w:before="0" w:beforeAutospacing="0" w:after="0" w:afterAutospacing="0" w:line="360" w:lineRule="auto"/>
        <w:ind w:firstLine="482"/>
        <w:rPr>
          <w:rFonts w:hint="eastAsia"/>
          <w:color w:val="000000"/>
          <w:szCs w:val="21"/>
        </w:rPr>
      </w:pPr>
    </w:p>
    <w:p w:rsidR="00813D24" w:rsidRPr="00207C4D" w:rsidRDefault="00813D24" w:rsidP="001C0842">
      <w:pPr>
        <w:pStyle w:val="a3"/>
        <w:spacing w:before="0" w:beforeAutospacing="0" w:after="0" w:afterAutospacing="0" w:line="360" w:lineRule="auto"/>
        <w:ind w:firstLine="482"/>
        <w:rPr>
          <w:rFonts w:hint="eastAsia"/>
          <w:color w:val="000000"/>
          <w:szCs w:val="21"/>
        </w:rPr>
      </w:pPr>
    </w:p>
    <w:p w:rsidR="0007256C" w:rsidRPr="00207C4D" w:rsidRDefault="00F753D8" w:rsidP="001C0842">
      <w:pPr>
        <w:pStyle w:val="a3"/>
        <w:spacing w:before="0" w:beforeAutospacing="0" w:after="0" w:afterAutospacing="0" w:line="360" w:lineRule="auto"/>
        <w:ind w:firstLine="482"/>
        <w:jc w:val="right"/>
        <w:rPr>
          <w:color w:val="000000"/>
          <w:szCs w:val="21"/>
        </w:rPr>
      </w:pPr>
      <w:r w:rsidRPr="00207C4D">
        <w:rPr>
          <w:rFonts w:hint="eastAsia"/>
          <w:color w:val="000000"/>
          <w:szCs w:val="21"/>
        </w:rPr>
        <w:t>摩根基金管理（中国）有限公司</w:t>
      </w:r>
    </w:p>
    <w:p w:rsidR="0007256C" w:rsidRPr="00207C4D" w:rsidRDefault="00F753D8" w:rsidP="001C0842">
      <w:pPr>
        <w:pStyle w:val="a3"/>
        <w:spacing w:before="0" w:beforeAutospacing="0" w:after="0" w:afterAutospacing="0" w:line="360" w:lineRule="auto"/>
        <w:ind w:firstLine="482"/>
        <w:jc w:val="right"/>
        <w:rPr>
          <w:rFonts w:ascii="Times New Roman" w:hAnsi="Times New Roman"/>
          <w:color w:val="000000"/>
          <w:szCs w:val="21"/>
        </w:rPr>
      </w:pPr>
      <w:r w:rsidRPr="00207C4D">
        <w:rPr>
          <w:rFonts w:ascii="Times New Roman" w:hAnsi="Times New Roman" w:hint="eastAsia"/>
          <w:color w:val="000000"/>
          <w:szCs w:val="21"/>
        </w:rPr>
        <w:t>20</w:t>
      </w:r>
      <w:r w:rsidRPr="00207C4D">
        <w:rPr>
          <w:rFonts w:ascii="Times New Roman" w:hAnsi="Times New Roman"/>
          <w:color w:val="000000"/>
          <w:szCs w:val="21"/>
        </w:rPr>
        <w:t>2</w:t>
      </w:r>
      <w:r w:rsidR="00EA4209" w:rsidRPr="00207C4D">
        <w:rPr>
          <w:rFonts w:ascii="Times New Roman" w:hAnsi="Times New Roman"/>
          <w:color w:val="000000"/>
          <w:szCs w:val="21"/>
        </w:rPr>
        <w:t>5</w:t>
      </w:r>
      <w:r w:rsidR="006104B2" w:rsidRPr="00207C4D">
        <w:rPr>
          <w:rFonts w:ascii="Times New Roman" w:hAnsi="Times New Roman" w:hint="eastAsia"/>
          <w:color w:val="000000"/>
          <w:szCs w:val="21"/>
        </w:rPr>
        <w:t>年</w:t>
      </w:r>
      <w:r w:rsidR="001106DC">
        <w:rPr>
          <w:rFonts w:ascii="Times New Roman" w:hAnsi="Times New Roman"/>
          <w:color w:val="000000"/>
          <w:szCs w:val="21"/>
        </w:rPr>
        <w:t>6</w:t>
      </w:r>
      <w:r w:rsidR="00EC0984" w:rsidRPr="00207C4D">
        <w:rPr>
          <w:rFonts w:ascii="Times New Roman" w:hAnsi="Times New Roman" w:hint="eastAsia"/>
          <w:color w:val="000000"/>
          <w:szCs w:val="21"/>
        </w:rPr>
        <w:t>月</w:t>
      </w:r>
      <w:r w:rsidR="001106DC">
        <w:rPr>
          <w:rFonts w:ascii="Times New Roman" w:hAnsi="Times New Roman"/>
          <w:color w:val="000000"/>
          <w:szCs w:val="21"/>
        </w:rPr>
        <w:t>7</w:t>
      </w:r>
      <w:r w:rsidR="0007256C" w:rsidRPr="00207C4D">
        <w:rPr>
          <w:rFonts w:ascii="Times New Roman" w:hAnsi="Times New Roman" w:hint="eastAsia"/>
          <w:color w:val="000000"/>
          <w:szCs w:val="21"/>
        </w:rPr>
        <w:t>日</w:t>
      </w:r>
    </w:p>
    <w:p w:rsidR="002938DF" w:rsidRPr="00207C4D" w:rsidRDefault="002938DF" w:rsidP="00813D24">
      <w:pPr>
        <w:pStyle w:val="a3"/>
        <w:spacing w:before="0" w:beforeAutospacing="0" w:after="0" w:afterAutospacing="0" w:line="360" w:lineRule="auto"/>
        <w:ind w:firstLine="482"/>
        <w:rPr>
          <w:color w:val="000000"/>
          <w:sz w:val="21"/>
          <w:szCs w:val="21"/>
        </w:rPr>
      </w:pPr>
    </w:p>
    <w:sectPr w:rsidR="002938DF" w:rsidRPr="00207C4D" w:rsidSect="00433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8C0" w:rsidRDefault="001D08C0" w:rsidP="000518A1">
      <w:r>
        <w:separator/>
      </w:r>
    </w:p>
  </w:endnote>
  <w:endnote w:type="continuationSeparator" w:id="0">
    <w:p w:rsidR="001D08C0" w:rsidRDefault="001D08C0" w:rsidP="00051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8C0" w:rsidRDefault="001D08C0" w:rsidP="000518A1">
      <w:r>
        <w:separator/>
      </w:r>
    </w:p>
  </w:footnote>
  <w:footnote w:type="continuationSeparator" w:id="0">
    <w:p w:rsidR="001D08C0" w:rsidRDefault="001D08C0" w:rsidP="000518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56C"/>
    <w:rsid w:val="000004E6"/>
    <w:rsid w:val="000062F5"/>
    <w:rsid w:val="00014B8F"/>
    <w:rsid w:val="00014C4A"/>
    <w:rsid w:val="00027A0B"/>
    <w:rsid w:val="00033980"/>
    <w:rsid w:val="00037733"/>
    <w:rsid w:val="00050071"/>
    <w:rsid w:val="0005034A"/>
    <w:rsid w:val="000518A1"/>
    <w:rsid w:val="00055C9E"/>
    <w:rsid w:val="0007256C"/>
    <w:rsid w:val="00095EB3"/>
    <w:rsid w:val="0009680F"/>
    <w:rsid w:val="000A4D1F"/>
    <w:rsid w:val="000B20C8"/>
    <w:rsid w:val="000B257C"/>
    <w:rsid w:val="000C3E49"/>
    <w:rsid w:val="000D79D5"/>
    <w:rsid w:val="001106DC"/>
    <w:rsid w:val="00122A52"/>
    <w:rsid w:val="00154C32"/>
    <w:rsid w:val="00164531"/>
    <w:rsid w:val="001707C3"/>
    <w:rsid w:val="001731B0"/>
    <w:rsid w:val="0017782C"/>
    <w:rsid w:val="0018443F"/>
    <w:rsid w:val="00191C03"/>
    <w:rsid w:val="00193C5F"/>
    <w:rsid w:val="001A3031"/>
    <w:rsid w:val="001B0729"/>
    <w:rsid w:val="001B079D"/>
    <w:rsid w:val="001B1F76"/>
    <w:rsid w:val="001B4957"/>
    <w:rsid w:val="001B4FF0"/>
    <w:rsid w:val="001C0842"/>
    <w:rsid w:val="001C1AB1"/>
    <w:rsid w:val="001C5875"/>
    <w:rsid w:val="001D08C0"/>
    <w:rsid w:val="001D0FB9"/>
    <w:rsid w:val="001D4FAD"/>
    <w:rsid w:val="001F3CC1"/>
    <w:rsid w:val="00204E62"/>
    <w:rsid w:val="00207C4D"/>
    <w:rsid w:val="00210148"/>
    <w:rsid w:val="0021330D"/>
    <w:rsid w:val="00217912"/>
    <w:rsid w:val="00223772"/>
    <w:rsid w:val="00230C05"/>
    <w:rsid w:val="00231579"/>
    <w:rsid w:val="00231958"/>
    <w:rsid w:val="00234BB1"/>
    <w:rsid w:val="00253414"/>
    <w:rsid w:val="00280163"/>
    <w:rsid w:val="0028390A"/>
    <w:rsid w:val="00287F03"/>
    <w:rsid w:val="002938DF"/>
    <w:rsid w:val="002A206A"/>
    <w:rsid w:val="002A30A7"/>
    <w:rsid w:val="002A5430"/>
    <w:rsid w:val="002A6D88"/>
    <w:rsid w:val="002B48A6"/>
    <w:rsid w:val="002C083E"/>
    <w:rsid w:val="002D1FF8"/>
    <w:rsid w:val="002E2C1A"/>
    <w:rsid w:val="002E4650"/>
    <w:rsid w:val="002E5CAC"/>
    <w:rsid w:val="002E6333"/>
    <w:rsid w:val="002F1973"/>
    <w:rsid w:val="002F1C25"/>
    <w:rsid w:val="002F2B9B"/>
    <w:rsid w:val="002F6269"/>
    <w:rsid w:val="00302CDF"/>
    <w:rsid w:val="00302D2A"/>
    <w:rsid w:val="00306603"/>
    <w:rsid w:val="00336D69"/>
    <w:rsid w:val="00384A93"/>
    <w:rsid w:val="00385D80"/>
    <w:rsid w:val="00385EBB"/>
    <w:rsid w:val="0039799C"/>
    <w:rsid w:val="003A1CF8"/>
    <w:rsid w:val="003A3F00"/>
    <w:rsid w:val="003A7A15"/>
    <w:rsid w:val="003B51ED"/>
    <w:rsid w:val="003C20CE"/>
    <w:rsid w:val="003C251D"/>
    <w:rsid w:val="003C5CF4"/>
    <w:rsid w:val="003E1C92"/>
    <w:rsid w:val="003E6CEA"/>
    <w:rsid w:val="003F19CE"/>
    <w:rsid w:val="003F4607"/>
    <w:rsid w:val="00401C18"/>
    <w:rsid w:val="004108C9"/>
    <w:rsid w:val="00413070"/>
    <w:rsid w:val="00432159"/>
    <w:rsid w:val="00433A2C"/>
    <w:rsid w:val="00433F63"/>
    <w:rsid w:val="0045111A"/>
    <w:rsid w:val="0045232C"/>
    <w:rsid w:val="004539D8"/>
    <w:rsid w:val="00453DE2"/>
    <w:rsid w:val="004621E1"/>
    <w:rsid w:val="00477C63"/>
    <w:rsid w:val="00482FE3"/>
    <w:rsid w:val="004B0FBE"/>
    <w:rsid w:val="004C09CC"/>
    <w:rsid w:val="004C6BDC"/>
    <w:rsid w:val="004C6EA2"/>
    <w:rsid w:val="004D0DE8"/>
    <w:rsid w:val="004E1295"/>
    <w:rsid w:val="004E18D0"/>
    <w:rsid w:val="004E5137"/>
    <w:rsid w:val="004E6C54"/>
    <w:rsid w:val="005059FF"/>
    <w:rsid w:val="005101B3"/>
    <w:rsid w:val="00515A0D"/>
    <w:rsid w:val="00515DF4"/>
    <w:rsid w:val="005160F7"/>
    <w:rsid w:val="00521801"/>
    <w:rsid w:val="00526D3A"/>
    <w:rsid w:val="00554E65"/>
    <w:rsid w:val="005551B4"/>
    <w:rsid w:val="00555A49"/>
    <w:rsid w:val="005606AD"/>
    <w:rsid w:val="00567232"/>
    <w:rsid w:val="005718B0"/>
    <w:rsid w:val="005827F0"/>
    <w:rsid w:val="00585552"/>
    <w:rsid w:val="005915E5"/>
    <w:rsid w:val="00595435"/>
    <w:rsid w:val="005A1283"/>
    <w:rsid w:val="005D129E"/>
    <w:rsid w:val="005D5F76"/>
    <w:rsid w:val="005E6820"/>
    <w:rsid w:val="00604D85"/>
    <w:rsid w:val="00606176"/>
    <w:rsid w:val="006104B2"/>
    <w:rsid w:val="0061092E"/>
    <w:rsid w:val="0061155E"/>
    <w:rsid w:val="00620F9D"/>
    <w:rsid w:val="006264B5"/>
    <w:rsid w:val="006267F8"/>
    <w:rsid w:val="00631961"/>
    <w:rsid w:val="00633250"/>
    <w:rsid w:val="00645561"/>
    <w:rsid w:val="00647A3E"/>
    <w:rsid w:val="00651498"/>
    <w:rsid w:val="00670401"/>
    <w:rsid w:val="006738DA"/>
    <w:rsid w:val="00673F54"/>
    <w:rsid w:val="00674709"/>
    <w:rsid w:val="00684AFB"/>
    <w:rsid w:val="0069429B"/>
    <w:rsid w:val="006A7B32"/>
    <w:rsid w:val="006C6F41"/>
    <w:rsid w:val="006C7FE9"/>
    <w:rsid w:val="006F52AC"/>
    <w:rsid w:val="00722752"/>
    <w:rsid w:val="007241A5"/>
    <w:rsid w:val="00724237"/>
    <w:rsid w:val="00732E81"/>
    <w:rsid w:val="00741973"/>
    <w:rsid w:val="00744CC8"/>
    <w:rsid w:val="007462C1"/>
    <w:rsid w:val="00763B50"/>
    <w:rsid w:val="00770A8B"/>
    <w:rsid w:val="007736CB"/>
    <w:rsid w:val="007862C0"/>
    <w:rsid w:val="007A230F"/>
    <w:rsid w:val="007A37A5"/>
    <w:rsid w:val="007B1224"/>
    <w:rsid w:val="007B4FA0"/>
    <w:rsid w:val="007C3FC0"/>
    <w:rsid w:val="007C6F71"/>
    <w:rsid w:val="00802479"/>
    <w:rsid w:val="00806A1A"/>
    <w:rsid w:val="00807AAC"/>
    <w:rsid w:val="00812A71"/>
    <w:rsid w:val="00813255"/>
    <w:rsid w:val="00813D24"/>
    <w:rsid w:val="0081485A"/>
    <w:rsid w:val="008241FB"/>
    <w:rsid w:val="0082652D"/>
    <w:rsid w:val="008274BD"/>
    <w:rsid w:val="00830414"/>
    <w:rsid w:val="00830EC3"/>
    <w:rsid w:val="008531AE"/>
    <w:rsid w:val="0086732A"/>
    <w:rsid w:val="0087486C"/>
    <w:rsid w:val="00892D50"/>
    <w:rsid w:val="00892EBE"/>
    <w:rsid w:val="008A1FC3"/>
    <w:rsid w:val="008B7127"/>
    <w:rsid w:val="008D151F"/>
    <w:rsid w:val="008D2A48"/>
    <w:rsid w:val="008E6948"/>
    <w:rsid w:val="008F22AC"/>
    <w:rsid w:val="008F2F11"/>
    <w:rsid w:val="008F4F82"/>
    <w:rsid w:val="008F744E"/>
    <w:rsid w:val="0090765E"/>
    <w:rsid w:val="009176F2"/>
    <w:rsid w:val="00925A5D"/>
    <w:rsid w:val="00931DBA"/>
    <w:rsid w:val="00940D59"/>
    <w:rsid w:val="00942607"/>
    <w:rsid w:val="0095169E"/>
    <w:rsid w:val="00964838"/>
    <w:rsid w:val="00970493"/>
    <w:rsid w:val="00973B53"/>
    <w:rsid w:val="00975EE4"/>
    <w:rsid w:val="00981761"/>
    <w:rsid w:val="00990C6C"/>
    <w:rsid w:val="00993CA1"/>
    <w:rsid w:val="00995F82"/>
    <w:rsid w:val="00996315"/>
    <w:rsid w:val="00997B87"/>
    <w:rsid w:val="00997CD5"/>
    <w:rsid w:val="009A332A"/>
    <w:rsid w:val="009B059E"/>
    <w:rsid w:val="009B0940"/>
    <w:rsid w:val="009B793C"/>
    <w:rsid w:val="009B7D9E"/>
    <w:rsid w:val="009C2CFF"/>
    <w:rsid w:val="009D5EDE"/>
    <w:rsid w:val="009F09C0"/>
    <w:rsid w:val="009F2066"/>
    <w:rsid w:val="009F4665"/>
    <w:rsid w:val="00A031B8"/>
    <w:rsid w:val="00A06F12"/>
    <w:rsid w:val="00A22996"/>
    <w:rsid w:val="00A27B5C"/>
    <w:rsid w:val="00A34532"/>
    <w:rsid w:val="00A54845"/>
    <w:rsid w:val="00A623A8"/>
    <w:rsid w:val="00A672F9"/>
    <w:rsid w:val="00A715EC"/>
    <w:rsid w:val="00A73767"/>
    <w:rsid w:val="00A761C7"/>
    <w:rsid w:val="00A81B21"/>
    <w:rsid w:val="00AA5D5B"/>
    <w:rsid w:val="00AB0B45"/>
    <w:rsid w:val="00AB54BF"/>
    <w:rsid w:val="00AC739B"/>
    <w:rsid w:val="00AF57EA"/>
    <w:rsid w:val="00AF6D53"/>
    <w:rsid w:val="00AF7802"/>
    <w:rsid w:val="00B0222C"/>
    <w:rsid w:val="00B03469"/>
    <w:rsid w:val="00B04860"/>
    <w:rsid w:val="00B34AE8"/>
    <w:rsid w:val="00B55177"/>
    <w:rsid w:val="00B70D70"/>
    <w:rsid w:val="00B81258"/>
    <w:rsid w:val="00B912DC"/>
    <w:rsid w:val="00BC01C9"/>
    <w:rsid w:val="00BC1B1B"/>
    <w:rsid w:val="00BC475C"/>
    <w:rsid w:val="00BD20AA"/>
    <w:rsid w:val="00BE17AC"/>
    <w:rsid w:val="00C17077"/>
    <w:rsid w:val="00C170A6"/>
    <w:rsid w:val="00C24EAE"/>
    <w:rsid w:val="00C271BE"/>
    <w:rsid w:val="00C40F9E"/>
    <w:rsid w:val="00C51DC8"/>
    <w:rsid w:val="00C56061"/>
    <w:rsid w:val="00C64FF7"/>
    <w:rsid w:val="00C924A2"/>
    <w:rsid w:val="00CA1252"/>
    <w:rsid w:val="00CB7B9A"/>
    <w:rsid w:val="00CC210A"/>
    <w:rsid w:val="00CC2B23"/>
    <w:rsid w:val="00CD7CC7"/>
    <w:rsid w:val="00CE5351"/>
    <w:rsid w:val="00CF07E0"/>
    <w:rsid w:val="00CF2238"/>
    <w:rsid w:val="00CF54D7"/>
    <w:rsid w:val="00CF7D0E"/>
    <w:rsid w:val="00D03463"/>
    <w:rsid w:val="00D04027"/>
    <w:rsid w:val="00D13391"/>
    <w:rsid w:val="00D13A68"/>
    <w:rsid w:val="00D226B4"/>
    <w:rsid w:val="00D32853"/>
    <w:rsid w:val="00D36CAB"/>
    <w:rsid w:val="00D40AB8"/>
    <w:rsid w:val="00D45946"/>
    <w:rsid w:val="00D521FD"/>
    <w:rsid w:val="00D602E2"/>
    <w:rsid w:val="00D63E1F"/>
    <w:rsid w:val="00D669F2"/>
    <w:rsid w:val="00D868A9"/>
    <w:rsid w:val="00D94CFF"/>
    <w:rsid w:val="00DD026C"/>
    <w:rsid w:val="00DE6129"/>
    <w:rsid w:val="00DF3706"/>
    <w:rsid w:val="00DF4DC2"/>
    <w:rsid w:val="00E0089F"/>
    <w:rsid w:val="00E0356D"/>
    <w:rsid w:val="00E0705E"/>
    <w:rsid w:val="00E12F59"/>
    <w:rsid w:val="00E1711F"/>
    <w:rsid w:val="00E2013D"/>
    <w:rsid w:val="00E22F32"/>
    <w:rsid w:val="00E43665"/>
    <w:rsid w:val="00E47E8F"/>
    <w:rsid w:val="00E5132E"/>
    <w:rsid w:val="00E54EAA"/>
    <w:rsid w:val="00E57C34"/>
    <w:rsid w:val="00E652AE"/>
    <w:rsid w:val="00E65754"/>
    <w:rsid w:val="00E67A2D"/>
    <w:rsid w:val="00E74B69"/>
    <w:rsid w:val="00E92C78"/>
    <w:rsid w:val="00E92EA8"/>
    <w:rsid w:val="00E9650D"/>
    <w:rsid w:val="00EA3201"/>
    <w:rsid w:val="00EA4209"/>
    <w:rsid w:val="00EA6FA4"/>
    <w:rsid w:val="00EB11D1"/>
    <w:rsid w:val="00EC0984"/>
    <w:rsid w:val="00EC4A50"/>
    <w:rsid w:val="00ED5547"/>
    <w:rsid w:val="00ED712F"/>
    <w:rsid w:val="00EE7829"/>
    <w:rsid w:val="00F03838"/>
    <w:rsid w:val="00F07852"/>
    <w:rsid w:val="00F1196A"/>
    <w:rsid w:val="00F1488F"/>
    <w:rsid w:val="00F2750D"/>
    <w:rsid w:val="00F37BD3"/>
    <w:rsid w:val="00F45788"/>
    <w:rsid w:val="00F575CF"/>
    <w:rsid w:val="00F75077"/>
    <w:rsid w:val="00F753D8"/>
    <w:rsid w:val="00F8644B"/>
    <w:rsid w:val="00F93B70"/>
    <w:rsid w:val="00FA2BE6"/>
    <w:rsid w:val="00FB4282"/>
    <w:rsid w:val="00FC207A"/>
    <w:rsid w:val="00FC4461"/>
    <w:rsid w:val="00FD7151"/>
    <w:rsid w:val="00FE1A3B"/>
    <w:rsid w:val="00FE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56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25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link w:val="Char"/>
    <w:uiPriority w:val="99"/>
    <w:semiHidden/>
    <w:unhideWhenUsed/>
    <w:rsid w:val="000A4D1F"/>
    <w:pPr>
      <w:widowControl/>
      <w:jc w:val="left"/>
    </w:pPr>
    <w:rPr>
      <w:rFonts w:ascii="Calibri" w:hAnsi="Calibri" w:cs="宋体"/>
      <w:kern w:val="0"/>
      <w:szCs w:val="21"/>
    </w:rPr>
  </w:style>
  <w:style w:type="character" w:customStyle="1" w:styleId="Char">
    <w:name w:val="纯文本 Char"/>
    <w:link w:val="a4"/>
    <w:uiPriority w:val="99"/>
    <w:semiHidden/>
    <w:rsid w:val="000A4D1F"/>
    <w:rPr>
      <w:rFonts w:ascii="Calibri" w:eastAsia="宋体" w:hAnsi="Calibri" w:cs="宋体"/>
      <w:kern w:val="0"/>
      <w:szCs w:val="21"/>
    </w:rPr>
  </w:style>
  <w:style w:type="paragraph" w:styleId="a5">
    <w:name w:val="header"/>
    <w:basedOn w:val="a"/>
    <w:link w:val="Char0"/>
    <w:uiPriority w:val="99"/>
    <w:unhideWhenUsed/>
    <w:rsid w:val="00051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0518A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51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0518A1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semiHidden/>
    <w:unhideWhenUsed/>
    <w:rsid w:val="004E6C54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A031B8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A031B8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rsid w:val="008E694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4C6EA2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4C6EA2"/>
    <w:pPr>
      <w:jc w:val="left"/>
    </w:pPr>
  </w:style>
  <w:style w:type="character" w:customStyle="1" w:styleId="Char3">
    <w:name w:val="批注文字 Char"/>
    <w:link w:val="ab"/>
    <w:uiPriority w:val="99"/>
    <w:semiHidden/>
    <w:rsid w:val="004C6EA2"/>
    <w:rPr>
      <w:rFonts w:ascii="Times New Roman" w:hAnsi="Times New Roman"/>
      <w:kern w:val="2"/>
      <w:sz w:val="21"/>
      <w:szCs w:val="24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4C6EA2"/>
    <w:rPr>
      <w:b/>
      <w:bCs/>
    </w:rPr>
  </w:style>
  <w:style w:type="character" w:customStyle="1" w:styleId="Char4">
    <w:name w:val="批注主题 Char"/>
    <w:link w:val="ac"/>
    <w:uiPriority w:val="99"/>
    <w:semiHidden/>
    <w:rsid w:val="004C6EA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8854">
                  <w:marLeft w:val="0"/>
                  <w:marRight w:val="0"/>
                  <w:marTop w:val="0"/>
                  <w:marBottom w:val="0"/>
                  <w:divBdr>
                    <w:top w:val="single" w:sz="6" w:space="0" w:color="BDD2ED"/>
                    <w:left w:val="single" w:sz="6" w:space="0" w:color="BDD2ED"/>
                    <w:bottom w:val="single" w:sz="6" w:space="0" w:color="BDD2ED"/>
                    <w:right w:val="single" w:sz="6" w:space="0" w:color="BDD2ED"/>
                  </w:divBdr>
                  <w:divsChild>
                    <w:div w:id="5306063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fu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4</DocSecurity>
  <Lines>2</Lines>
  <Paragraphs>1</Paragraphs>
  <ScaleCrop>false</ScaleCrop>
  <Company>Microsoft</Company>
  <LinksUpToDate>false</LinksUpToDate>
  <CharactersWithSpaces>378</CharactersWithSpaces>
  <SharedDoc>false</SharedDoc>
  <HLinks>
    <vt:vector size="6" baseType="variant">
      <vt:variant>
        <vt:i4>2293801</vt:i4>
      </vt:variant>
      <vt:variant>
        <vt:i4>0</vt:i4>
      </vt:variant>
      <vt:variant>
        <vt:i4>0</vt:i4>
      </vt:variant>
      <vt:variant>
        <vt:i4>5</vt:i4>
      </vt:variant>
      <vt:variant>
        <vt:lpwstr>http://www.nffund.com/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</dc:creator>
  <cp:keywords/>
  <cp:lastModifiedBy>ZHONGM</cp:lastModifiedBy>
  <cp:revision>2</cp:revision>
  <dcterms:created xsi:type="dcterms:W3CDTF">2025-06-06T16:01:00Z</dcterms:created>
  <dcterms:modified xsi:type="dcterms:W3CDTF">2025-06-06T16:01:00Z</dcterms:modified>
</cp:coreProperties>
</file>