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07" w:rsidRDefault="00E25DBE" w:rsidP="00E25DBE">
      <w:pPr>
        <w:spacing w:line="360" w:lineRule="auto"/>
        <w:jc w:val="center"/>
        <w:rPr>
          <w:rFonts w:ascii="微软雅黑" w:hAnsi="微软雅黑"/>
          <w:b/>
          <w:bCs/>
          <w:color w:val="4F4F4F"/>
        </w:rPr>
      </w:pPr>
      <w:r>
        <w:rPr>
          <w:rFonts w:ascii="微软雅黑" w:hAnsi="微软雅黑" w:hint="eastAsia"/>
          <w:b/>
          <w:bCs/>
          <w:color w:val="4F4F4F"/>
        </w:rPr>
        <w:t>华泰证券</w:t>
      </w:r>
      <w:r w:rsidR="003D09A6">
        <w:rPr>
          <w:rFonts w:ascii="微软雅黑" w:hAnsi="微软雅黑" w:hint="eastAsia"/>
          <w:b/>
          <w:bCs/>
          <w:color w:val="4F4F4F"/>
        </w:rPr>
        <w:t>（上海）资产管理有限公司</w:t>
      </w:r>
      <w:r>
        <w:rPr>
          <w:rFonts w:ascii="微软雅黑" w:hAnsi="微软雅黑"/>
          <w:b/>
          <w:bCs/>
          <w:color w:val="4F4F4F"/>
        </w:rPr>
        <w:t>关于旗下</w:t>
      </w:r>
      <w:r w:rsidR="00E34881">
        <w:rPr>
          <w:rFonts w:ascii="微软雅黑" w:hAnsi="微软雅黑" w:hint="eastAsia"/>
          <w:b/>
          <w:bCs/>
          <w:color w:val="4F4F4F"/>
        </w:rPr>
        <w:t>基金</w:t>
      </w:r>
      <w:r>
        <w:rPr>
          <w:rFonts w:ascii="微软雅黑" w:hAnsi="微软雅黑"/>
          <w:b/>
          <w:bCs/>
          <w:color w:val="4F4F4F"/>
        </w:rPr>
        <w:t>持有的</w:t>
      </w:r>
      <w:r w:rsidR="00E34881">
        <w:rPr>
          <w:rFonts w:ascii="微软雅黑" w:hAnsi="微软雅黑" w:hint="eastAsia"/>
          <w:b/>
          <w:bCs/>
          <w:color w:val="4F4F4F"/>
        </w:rPr>
        <w:t>长期停牌</w:t>
      </w:r>
      <w:r w:rsidRPr="00D14946">
        <w:rPr>
          <w:rFonts w:ascii="微软雅黑" w:hAnsi="微软雅黑"/>
          <w:b/>
          <w:bCs/>
          <w:color w:val="4F4F4F"/>
        </w:rPr>
        <w:t>股</w:t>
      </w:r>
      <w:r>
        <w:rPr>
          <w:rFonts w:ascii="微软雅黑" w:hAnsi="微软雅黑"/>
          <w:b/>
          <w:bCs/>
          <w:color w:val="4F4F4F"/>
        </w:rPr>
        <w:t>票</w:t>
      </w:r>
      <w:r w:rsidR="00D14946" w:rsidRPr="00D14946">
        <w:rPr>
          <w:rFonts w:ascii="微软雅黑" w:hAnsi="微软雅黑" w:hint="eastAsia"/>
          <w:b/>
          <w:bCs/>
          <w:color w:val="4F4F4F"/>
        </w:rPr>
        <w:t>估值调整的公告</w:t>
      </w:r>
    </w:p>
    <w:p w:rsidR="00E25DBE" w:rsidRDefault="00E25DBE" w:rsidP="00E25DBE">
      <w:pPr>
        <w:spacing w:line="360" w:lineRule="auto"/>
        <w:rPr>
          <w:rFonts w:ascii="微软雅黑" w:hAnsi="微软雅黑"/>
          <w:b/>
          <w:bCs/>
          <w:color w:val="4F4F4F"/>
        </w:rPr>
      </w:pPr>
    </w:p>
    <w:p w:rsidR="009F245A" w:rsidRDefault="001F08F8" w:rsidP="009F245A">
      <w:pPr>
        <w:pStyle w:val="HTML"/>
        <w:spacing w:before="100" w:beforeAutospacing="1" w:after="100" w:afterAutospacing="1" w:line="360" w:lineRule="auto"/>
        <w:ind w:firstLineChars="200" w:firstLine="480"/>
        <w:rPr>
          <w:color w:val="333333"/>
        </w:rPr>
      </w:pPr>
      <w:r w:rsidRPr="00A677DA">
        <w:rPr>
          <w:rFonts w:hint="eastAsia"/>
          <w:color w:val="333333"/>
        </w:rPr>
        <w:t>根据中国证券监督管理委员会</w:t>
      </w:r>
      <w:r w:rsidR="000E0402" w:rsidRPr="00A677DA">
        <w:rPr>
          <w:rFonts w:hint="eastAsia"/>
          <w:color w:val="333333"/>
        </w:rPr>
        <w:t>公布的</w:t>
      </w:r>
      <w:r w:rsidR="00A130FC" w:rsidRPr="00A677DA">
        <w:rPr>
          <w:rFonts w:asciiTheme="minorHAnsi" w:hAnsiTheme="minorHAnsi"/>
          <w:color w:val="333333"/>
          <w:kern w:val="2"/>
        </w:rPr>
        <w:t>《中国证监会关于证券投资基金估值业务的指导意见》</w:t>
      </w:r>
      <w:r w:rsidRPr="00A677DA">
        <w:rPr>
          <w:rFonts w:hint="eastAsia"/>
          <w:color w:val="333333"/>
        </w:rPr>
        <w:t>（中国证监会[20</w:t>
      </w:r>
      <w:r w:rsidR="00A130FC" w:rsidRPr="00A677DA">
        <w:rPr>
          <w:rFonts w:hint="eastAsia"/>
          <w:color w:val="333333"/>
        </w:rPr>
        <w:t>17</w:t>
      </w:r>
      <w:r w:rsidRPr="00A677DA">
        <w:rPr>
          <w:rFonts w:hint="eastAsia"/>
          <w:color w:val="333333"/>
        </w:rPr>
        <w:t>]</w:t>
      </w:r>
      <w:r w:rsidR="00A130FC" w:rsidRPr="00A677DA">
        <w:rPr>
          <w:rFonts w:hint="eastAsia"/>
          <w:color w:val="333333"/>
        </w:rPr>
        <w:t>13</w:t>
      </w:r>
      <w:r w:rsidRPr="00A677DA">
        <w:rPr>
          <w:rFonts w:hint="eastAsia"/>
          <w:color w:val="333333"/>
        </w:rPr>
        <w:t xml:space="preserve"> 号公告）</w:t>
      </w:r>
      <w:r w:rsidR="00A63476" w:rsidRPr="001F08F8">
        <w:rPr>
          <w:rFonts w:hint="eastAsia"/>
          <w:color w:val="333333"/>
        </w:rPr>
        <w:t>以及中国证券投资基金业协会《关于发布中基协（AMAC）基金行业股票估值指数的通知》（中基协发[2013]13号）</w:t>
      </w:r>
      <w:r w:rsidRPr="00A677DA">
        <w:rPr>
          <w:rFonts w:hint="eastAsia"/>
          <w:color w:val="333333"/>
        </w:rPr>
        <w:t>的原则和有关要求，</w:t>
      </w:r>
      <w:r w:rsidR="009F245A" w:rsidRPr="00BA635F">
        <w:rPr>
          <w:rFonts w:hint="eastAsia"/>
          <w:color w:val="333333"/>
        </w:rPr>
        <w:t>经与相关托管人协商一致，华泰证券（上海）资产管理有限公司</w:t>
      </w:r>
      <w:r w:rsidR="009F245A" w:rsidRPr="00BA635F">
        <w:rPr>
          <w:color w:val="333333"/>
        </w:rPr>
        <w:t>（以下简称</w:t>
      </w:r>
      <w:r w:rsidR="009F245A" w:rsidRPr="00BA635F">
        <w:rPr>
          <w:rFonts w:hint="eastAsia"/>
          <w:color w:val="333333"/>
        </w:rPr>
        <w:t>“</w:t>
      </w:r>
      <w:r w:rsidR="009F245A" w:rsidRPr="00BA635F">
        <w:rPr>
          <w:color w:val="333333"/>
        </w:rPr>
        <w:t>本</w:t>
      </w:r>
      <w:r w:rsidR="00083072">
        <w:rPr>
          <w:rFonts w:hint="eastAsia"/>
          <w:color w:val="333333"/>
        </w:rPr>
        <w:t>公司</w:t>
      </w:r>
      <w:bookmarkStart w:id="0" w:name="_GoBack"/>
      <w:bookmarkEnd w:id="0"/>
      <w:r w:rsidR="009F245A" w:rsidRPr="00BA635F">
        <w:rPr>
          <w:rFonts w:hint="eastAsia"/>
          <w:color w:val="333333"/>
        </w:rPr>
        <w:t>”</w:t>
      </w:r>
      <w:r w:rsidR="009F245A" w:rsidRPr="00BA635F">
        <w:rPr>
          <w:color w:val="333333"/>
        </w:rPr>
        <w:t>）</w:t>
      </w:r>
      <w:r w:rsidR="009F245A" w:rsidRPr="00BA635F">
        <w:rPr>
          <w:rFonts w:hint="eastAsia"/>
          <w:color w:val="333333"/>
        </w:rPr>
        <w:t>对旗下管理的</w:t>
      </w:r>
      <w:r w:rsidR="001F13A4">
        <w:rPr>
          <w:rFonts w:hint="eastAsia"/>
          <w:color w:val="333333"/>
        </w:rPr>
        <w:t>基金</w:t>
      </w:r>
      <w:r w:rsidR="009F245A" w:rsidRPr="00BA635F">
        <w:rPr>
          <w:color w:val="333333"/>
        </w:rPr>
        <w:t>所持有的</w:t>
      </w:r>
      <w:r w:rsidR="009F245A" w:rsidRPr="00BA635F">
        <w:rPr>
          <w:rFonts w:hint="eastAsia"/>
          <w:color w:val="333333"/>
        </w:rPr>
        <w:t>下列股票自</w:t>
      </w:r>
      <w:r w:rsidR="00E67659">
        <w:rPr>
          <w:color w:val="333333"/>
        </w:rPr>
        <w:t>2025</w:t>
      </w:r>
      <w:r w:rsidR="009F245A" w:rsidRPr="00BA635F">
        <w:rPr>
          <w:color w:val="333333"/>
        </w:rPr>
        <w:t>年</w:t>
      </w:r>
      <w:r w:rsidR="00E67659">
        <w:rPr>
          <w:color w:val="333333"/>
        </w:rPr>
        <w:t>6</w:t>
      </w:r>
      <w:r w:rsidR="009F245A" w:rsidRPr="00BA635F">
        <w:rPr>
          <w:color w:val="333333"/>
        </w:rPr>
        <w:t>月</w:t>
      </w:r>
      <w:r w:rsidR="00E67659">
        <w:rPr>
          <w:color w:val="333333"/>
        </w:rPr>
        <w:t>5</w:t>
      </w:r>
      <w:r w:rsidR="009F245A" w:rsidRPr="00BA635F">
        <w:rPr>
          <w:color w:val="333333"/>
        </w:rPr>
        <w:t>日</w:t>
      </w:r>
      <w:r w:rsidR="009F245A" w:rsidRPr="00BA635F">
        <w:rPr>
          <w:rFonts w:hint="eastAsia"/>
          <w:color w:val="333333"/>
        </w:rPr>
        <w:t>起按照指数收益法</w:t>
      </w:r>
      <w:r w:rsidR="009F245A" w:rsidRPr="00BA635F">
        <w:rPr>
          <w:color w:val="333333"/>
        </w:rPr>
        <w:t>进行估值。</w:t>
      </w:r>
      <w:r w:rsidR="009F245A" w:rsidRPr="00A677DA">
        <w:rPr>
          <w:color w:val="333333"/>
        </w:rPr>
        <w:t xml:space="preserve"> </w:t>
      </w: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4111"/>
      </w:tblGrid>
      <w:tr w:rsidR="009F245A" w:rsidRPr="00332BEC" w:rsidTr="005C552F">
        <w:trPr>
          <w:trHeight w:val="480"/>
          <w:jc w:val="center"/>
        </w:trPr>
        <w:tc>
          <w:tcPr>
            <w:tcW w:w="24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5A" w:rsidRPr="00332BEC" w:rsidRDefault="009F245A" w:rsidP="005C55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2BEC">
              <w:rPr>
                <w:rFonts w:ascii="Times New Roman" w:hAnsi="Times New Roman" w:cs="Times New Roman"/>
                <w:color w:val="000000"/>
                <w:sz w:val="24"/>
              </w:rPr>
              <w:t>股票代码</w:t>
            </w:r>
          </w:p>
        </w:tc>
        <w:tc>
          <w:tcPr>
            <w:tcW w:w="26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5A" w:rsidRPr="00332BEC" w:rsidRDefault="009F245A" w:rsidP="005C55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2BEC">
              <w:rPr>
                <w:rFonts w:ascii="Times New Roman" w:hAnsi="Times New Roman" w:cs="Times New Roman"/>
                <w:color w:val="000000"/>
                <w:sz w:val="24"/>
              </w:rPr>
              <w:t>股票名称</w:t>
            </w:r>
          </w:p>
        </w:tc>
      </w:tr>
      <w:tr w:rsidR="009F245A" w:rsidRPr="00332BEC" w:rsidTr="005C552F">
        <w:trPr>
          <w:trHeight w:val="480"/>
          <w:jc w:val="center"/>
        </w:trPr>
        <w:tc>
          <w:tcPr>
            <w:tcW w:w="2400" w:type="pct"/>
            <w:shd w:val="clear" w:color="auto" w:fill="auto"/>
            <w:noWrap/>
            <w:vAlign w:val="center"/>
          </w:tcPr>
          <w:p w:rsidR="009F245A" w:rsidRPr="00332BEC" w:rsidRDefault="00E67659" w:rsidP="005C55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688041</w:t>
            </w:r>
          </w:p>
        </w:tc>
        <w:tc>
          <w:tcPr>
            <w:tcW w:w="2600" w:type="pct"/>
            <w:shd w:val="clear" w:color="auto" w:fill="auto"/>
            <w:noWrap/>
            <w:vAlign w:val="center"/>
          </w:tcPr>
          <w:p w:rsidR="009F245A" w:rsidRPr="00332BEC" w:rsidRDefault="00E67659" w:rsidP="005C55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海光信息</w:t>
            </w:r>
          </w:p>
        </w:tc>
      </w:tr>
    </w:tbl>
    <w:p w:rsidR="001F08F8" w:rsidRDefault="001F08F8" w:rsidP="00B85C6B">
      <w:pPr>
        <w:pStyle w:val="HTML"/>
        <w:spacing w:before="100" w:beforeAutospacing="1" w:after="100" w:afterAutospacing="1" w:line="360" w:lineRule="auto"/>
        <w:ind w:firstLineChars="200" w:firstLine="480"/>
        <w:rPr>
          <w:color w:val="333333"/>
        </w:rPr>
      </w:pPr>
      <w:r w:rsidRPr="00A677DA">
        <w:rPr>
          <w:rFonts w:hint="eastAsia"/>
          <w:color w:val="333333"/>
        </w:rPr>
        <w:t>待上述股票复牌且其交易体现了活跃市场交易特征后，将恢复采用当日收盘价格进行估值，届时将不再另行公告。</w:t>
      </w:r>
    </w:p>
    <w:p w:rsidR="00303574" w:rsidRPr="00A677DA" w:rsidRDefault="00303574" w:rsidP="00A41223">
      <w:pPr>
        <w:pStyle w:val="HTML"/>
        <w:spacing w:before="100" w:beforeAutospacing="1" w:after="100" w:afterAutospacing="1" w:line="360" w:lineRule="auto"/>
        <w:ind w:firstLineChars="200" w:firstLine="480"/>
        <w:rPr>
          <w:color w:val="333333"/>
        </w:rPr>
      </w:pPr>
      <w:r w:rsidRPr="00A41223">
        <w:rPr>
          <w:rFonts w:hint="eastAsia"/>
          <w:color w:val="333333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1F08F8" w:rsidRPr="00A677DA" w:rsidRDefault="001F08F8" w:rsidP="00B85C6B">
      <w:pPr>
        <w:widowControl/>
        <w:shd w:val="clear" w:color="auto" w:fill="FFFFFF"/>
        <w:spacing w:after="150" w:line="360" w:lineRule="auto"/>
        <w:ind w:firstLine="480"/>
        <w:jc w:val="left"/>
        <w:rPr>
          <w:color w:val="333333"/>
          <w:sz w:val="24"/>
          <w:szCs w:val="24"/>
        </w:rPr>
      </w:pPr>
      <w:r w:rsidRPr="00A677DA">
        <w:rPr>
          <w:rFonts w:hint="eastAsia"/>
          <w:color w:val="333333"/>
          <w:sz w:val="24"/>
          <w:szCs w:val="24"/>
        </w:rPr>
        <w:t xml:space="preserve">　　特此公告！</w:t>
      </w:r>
    </w:p>
    <w:p w:rsidR="00E25DBE" w:rsidRPr="00A677DA" w:rsidRDefault="00E25DBE" w:rsidP="00B85C6B">
      <w:pPr>
        <w:snapToGrid w:val="0"/>
        <w:spacing w:before="100" w:beforeAutospacing="1" w:after="100" w:afterAutospacing="1" w:line="360" w:lineRule="auto"/>
        <w:ind w:firstLine="473"/>
        <w:rPr>
          <w:color w:val="333333"/>
          <w:sz w:val="24"/>
          <w:szCs w:val="24"/>
        </w:rPr>
      </w:pPr>
      <w:r w:rsidRPr="00A677DA">
        <w:rPr>
          <w:rFonts w:hint="eastAsia"/>
          <w:color w:val="333333"/>
          <w:sz w:val="24"/>
          <w:szCs w:val="24"/>
        </w:rPr>
        <w:t> </w:t>
      </w:r>
    </w:p>
    <w:p w:rsidR="00E25DBE" w:rsidRPr="00A677DA" w:rsidRDefault="00735D6B" w:rsidP="00B85C6B">
      <w:pPr>
        <w:snapToGrid w:val="0"/>
        <w:spacing w:before="100" w:beforeAutospacing="1" w:after="100" w:afterAutospacing="1" w:line="360" w:lineRule="auto"/>
        <w:ind w:firstLine="473"/>
        <w:jc w:val="right"/>
        <w:rPr>
          <w:rStyle w:val="a3"/>
          <w:color w:val="auto"/>
          <w:sz w:val="24"/>
          <w:szCs w:val="24"/>
        </w:rPr>
      </w:pPr>
      <w:hyperlink r:id="rId6" w:tgtFrame="_blank" w:history="1">
        <w:r w:rsidR="001F08F8" w:rsidRPr="00A677DA">
          <w:rPr>
            <w:rStyle w:val="a3"/>
            <w:rFonts w:hint="eastAsia"/>
            <w:color w:val="auto"/>
            <w:sz w:val="24"/>
            <w:szCs w:val="24"/>
          </w:rPr>
          <w:t>华泰证券（上海）</w:t>
        </w:r>
      </w:hyperlink>
      <w:r w:rsidR="001F08F8" w:rsidRPr="00A677DA">
        <w:rPr>
          <w:rStyle w:val="a3"/>
          <w:rFonts w:hint="eastAsia"/>
          <w:color w:val="auto"/>
          <w:sz w:val="24"/>
          <w:szCs w:val="24"/>
        </w:rPr>
        <w:t>资产</w:t>
      </w:r>
      <w:r w:rsidR="00E25DBE" w:rsidRPr="00A677DA">
        <w:rPr>
          <w:rStyle w:val="a3"/>
          <w:rFonts w:hint="eastAsia"/>
          <w:color w:val="auto"/>
          <w:sz w:val="24"/>
          <w:szCs w:val="24"/>
        </w:rPr>
        <w:t>管理有限公司</w:t>
      </w:r>
    </w:p>
    <w:p w:rsidR="00E25DBE" w:rsidRPr="00A677DA" w:rsidRDefault="006C62CE" w:rsidP="00B85C6B">
      <w:pPr>
        <w:snapToGrid w:val="0"/>
        <w:spacing w:before="100" w:beforeAutospacing="1" w:after="100" w:afterAutospacing="1" w:line="360" w:lineRule="auto"/>
        <w:ind w:firstLine="473"/>
        <w:jc w:val="right"/>
        <w:rPr>
          <w:rStyle w:val="a3"/>
          <w:color w:val="auto"/>
          <w:sz w:val="24"/>
          <w:szCs w:val="24"/>
        </w:rPr>
      </w:pPr>
      <w:r w:rsidRPr="00A677DA">
        <w:rPr>
          <w:rStyle w:val="a3"/>
          <w:rFonts w:hint="eastAsia"/>
          <w:color w:val="auto"/>
          <w:sz w:val="24"/>
          <w:szCs w:val="24"/>
        </w:rPr>
        <w:t>20</w:t>
      </w:r>
      <w:r w:rsidR="00E67659">
        <w:rPr>
          <w:rStyle w:val="a3"/>
          <w:color w:val="auto"/>
          <w:sz w:val="24"/>
          <w:szCs w:val="24"/>
        </w:rPr>
        <w:t>25</w:t>
      </w:r>
      <w:r w:rsidR="00E25DBE" w:rsidRPr="00A677DA">
        <w:rPr>
          <w:rStyle w:val="a3"/>
          <w:rFonts w:hint="eastAsia"/>
          <w:color w:val="auto"/>
          <w:sz w:val="24"/>
          <w:szCs w:val="24"/>
        </w:rPr>
        <w:t>年</w:t>
      </w:r>
      <w:r w:rsidR="00E67659">
        <w:rPr>
          <w:rStyle w:val="a3"/>
          <w:color w:val="auto"/>
          <w:sz w:val="24"/>
          <w:szCs w:val="24"/>
        </w:rPr>
        <w:t>6</w:t>
      </w:r>
      <w:r w:rsidR="00E25DBE" w:rsidRPr="00A677DA">
        <w:rPr>
          <w:rStyle w:val="a3"/>
          <w:rFonts w:hint="eastAsia"/>
          <w:color w:val="auto"/>
          <w:sz w:val="24"/>
          <w:szCs w:val="24"/>
        </w:rPr>
        <w:t>月</w:t>
      </w:r>
      <w:r w:rsidR="00BE438C">
        <w:rPr>
          <w:rStyle w:val="a3"/>
          <w:color w:val="auto"/>
          <w:sz w:val="24"/>
          <w:szCs w:val="24"/>
        </w:rPr>
        <w:t>6</w:t>
      </w:r>
      <w:r w:rsidR="00E25DBE" w:rsidRPr="00A677DA">
        <w:rPr>
          <w:rStyle w:val="a3"/>
          <w:rFonts w:hint="eastAsia"/>
          <w:color w:val="auto"/>
          <w:sz w:val="24"/>
          <w:szCs w:val="24"/>
        </w:rPr>
        <w:t>日</w:t>
      </w:r>
    </w:p>
    <w:p w:rsidR="00E25DBE" w:rsidRDefault="00E25DBE" w:rsidP="00E25DBE">
      <w:pPr>
        <w:snapToGrid w:val="0"/>
        <w:spacing w:before="100" w:beforeAutospacing="1" w:after="100" w:afterAutospacing="1" w:line="360" w:lineRule="auto"/>
        <w:ind w:firstLine="420"/>
        <w:jc w:val="right"/>
        <w:rPr>
          <w:color w:val="333333"/>
        </w:rPr>
      </w:pPr>
      <w:r>
        <w:rPr>
          <w:rFonts w:hint="eastAsia"/>
          <w:color w:val="333333"/>
        </w:rPr>
        <w:t> </w:t>
      </w:r>
    </w:p>
    <w:p w:rsidR="00E25DBE" w:rsidRDefault="00E25DBE" w:rsidP="00E25DBE">
      <w:pPr>
        <w:spacing w:line="360" w:lineRule="auto"/>
      </w:pPr>
    </w:p>
    <w:sectPr w:rsidR="00E25DBE" w:rsidSect="0073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3A4" w:rsidRDefault="001F13A4" w:rsidP="001F13A4">
      <w:r>
        <w:separator/>
      </w:r>
    </w:p>
  </w:endnote>
  <w:endnote w:type="continuationSeparator" w:id="0">
    <w:p w:rsidR="001F13A4" w:rsidRDefault="001F13A4" w:rsidP="001F1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3A4" w:rsidRDefault="001F13A4" w:rsidP="001F13A4">
      <w:r>
        <w:separator/>
      </w:r>
    </w:p>
  </w:footnote>
  <w:footnote w:type="continuationSeparator" w:id="0">
    <w:p w:rsidR="001F13A4" w:rsidRDefault="001F13A4" w:rsidP="001F1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4B7"/>
    <w:rsid w:val="00044E9F"/>
    <w:rsid w:val="00083072"/>
    <w:rsid w:val="000E0402"/>
    <w:rsid w:val="001620E5"/>
    <w:rsid w:val="001A4362"/>
    <w:rsid w:val="001F08F8"/>
    <w:rsid w:val="001F13A4"/>
    <w:rsid w:val="002A18FE"/>
    <w:rsid w:val="00303574"/>
    <w:rsid w:val="00303D34"/>
    <w:rsid w:val="00305E7C"/>
    <w:rsid w:val="00356674"/>
    <w:rsid w:val="003611A5"/>
    <w:rsid w:val="00381831"/>
    <w:rsid w:val="003A595C"/>
    <w:rsid w:val="003D09A6"/>
    <w:rsid w:val="004279CD"/>
    <w:rsid w:val="0043056B"/>
    <w:rsid w:val="005875F1"/>
    <w:rsid w:val="006369E1"/>
    <w:rsid w:val="006976EF"/>
    <w:rsid w:val="006C62CE"/>
    <w:rsid w:val="00735D6B"/>
    <w:rsid w:val="00803C8F"/>
    <w:rsid w:val="00875F6E"/>
    <w:rsid w:val="008D5CB2"/>
    <w:rsid w:val="0095467D"/>
    <w:rsid w:val="009A46CF"/>
    <w:rsid w:val="009A4A56"/>
    <w:rsid w:val="009F245A"/>
    <w:rsid w:val="00A130FC"/>
    <w:rsid w:val="00A41223"/>
    <w:rsid w:val="00A63476"/>
    <w:rsid w:val="00A677DA"/>
    <w:rsid w:val="00A73735"/>
    <w:rsid w:val="00AE35E0"/>
    <w:rsid w:val="00B85C6B"/>
    <w:rsid w:val="00BE438C"/>
    <w:rsid w:val="00BE68B6"/>
    <w:rsid w:val="00C348C5"/>
    <w:rsid w:val="00D14946"/>
    <w:rsid w:val="00DC23DE"/>
    <w:rsid w:val="00E074B7"/>
    <w:rsid w:val="00E25DBE"/>
    <w:rsid w:val="00E34881"/>
    <w:rsid w:val="00E67659"/>
    <w:rsid w:val="00E804B2"/>
    <w:rsid w:val="00E87733"/>
    <w:rsid w:val="00EA28D0"/>
    <w:rsid w:val="00EB18E3"/>
    <w:rsid w:val="00F6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DBE"/>
    <w:rPr>
      <w:strike w:val="0"/>
      <w:dstrike w:val="0"/>
      <w:color w:val="07288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5DB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E877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87733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F1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13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1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13A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E438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E43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9228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3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5575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9205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6423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716">
          <w:marLeft w:val="0"/>
          <w:marRight w:val="0"/>
          <w:marTop w:val="330"/>
          <w:marBottom w:val="0"/>
          <w:divBdr>
            <w:top w:val="single" w:sz="24" w:space="0" w:color="D0D0D0"/>
            <w:left w:val="single" w:sz="6" w:space="0" w:color="C9CACA"/>
            <w:bottom w:val="single" w:sz="6" w:space="0" w:color="C9CACA"/>
            <w:right w:val="single" w:sz="6" w:space="0" w:color="C9CACA"/>
          </w:divBdr>
          <w:divsChild>
            <w:div w:id="8871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cim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4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ZHONGM</cp:lastModifiedBy>
  <cp:revision>2</cp:revision>
  <cp:lastPrinted>2025-06-05T09:42:00Z</cp:lastPrinted>
  <dcterms:created xsi:type="dcterms:W3CDTF">2025-06-05T16:02:00Z</dcterms:created>
  <dcterms:modified xsi:type="dcterms:W3CDTF">2025-06-05T16:02:00Z</dcterms:modified>
</cp:coreProperties>
</file>