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宏利基金管理有限公司</w:t>
      </w:r>
    </w:p>
    <w:p w:rsidR="007E19F4" w:rsidRDefault="000B0547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>
        <w:rPr>
          <w:rFonts w:ascii="宋体" w:hAnsi="宋体" w:hint="eastAsia"/>
          <w:color w:val="2B2B2B"/>
          <w:spacing w:val="-23"/>
          <w:sz w:val="30"/>
          <w:szCs w:val="30"/>
        </w:rPr>
        <w:t>关于旗下基金调整长期停牌股票估值方法的公告</w:t>
      </w:r>
    </w:p>
    <w:p w:rsidR="007E19F4" w:rsidRDefault="007E19F4">
      <w:pPr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/>
        </w:rPr>
        <w:t>根据中国证券监督管理委员会《</w:t>
      </w:r>
      <w:r>
        <w:rPr>
          <w:rStyle w:val="txtcontent11"/>
          <w:rFonts w:ascii="宋体" w:hAnsi="宋体" w:hint="eastAsia"/>
        </w:rPr>
        <w:t>中国证监会关于证券投资基金估值业务的指导意见</w:t>
      </w:r>
      <w:r>
        <w:rPr>
          <w:rStyle w:val="txtcontent11"/>
          <w:rFonts w:ascii="宋体" w:hAnsi="宋体"/>
        </w:rPr>
        <w:t>》</w:t>
      </w:r>
      <w:r>
        <w:rPr>
          <w:rStyle w:val="txtcontent11"/>
          <w:rFonts w:ascii="宋体" w:hAnsi="宋体" w:hint="eastAsia"/>
        </w:rPr>
        <w:t xml:space="preserve"> </w:t>
      </w:r>
      <w:r>
        <w:rPr>
          <w:rStyle w:val="txtcontent11"/>
          <w:rFonts w:ascii="宋体" w:hAnsi="宋体"/>
        </w:rPr>
        <w:t>（证监会公告</w:t>
      </w:r>
      <w:r>
        <w:rPr>
          <w:rStyle w:val="txtcontent11"/>
          <w:rFonts w:ascii="宋体" w:hAnsi="宋体" w:hint="eastAsia"/>
        </w:rPr>
        <w:t>〔2017〕13号</w:t>
      </w:r>
      <w:r>
        <w:rPr>
          <w:rStyle w:val="txtcontent11"/>
          <w:rFonts w:ascii="宋体" w:hAnsi="宋体"/>
        </w:rPr>
        <w:t>）</w:t>
      </w:r>
      <w:r>
        <w:rPr>
          <w:rStyle w:val="txtcontent11"/>
          <w:rFonts w:ascii="宋体" w:hAnsi="宋体" w:hint="eastAsia"/>
        </w:rPr>
        <w:t>、中国证券投资基金业协会《关于发布中基协（AMAC）基金行业股票估值指数的通知》（中基协发[2013]13号）的有关规定，为使持有长期停牌股票的基金估值更加公平、合理，更好的维护持有人利益，经宏利基金管理有限公司（以下简称“本公司”）与基金托管人协商一致，</w:t>
      </w:r>
      <w:r>
        <w:rPr>
          <w:rStyle w:val="txtcontent11"/>
          <w:rFonts w:ascii="宋体" w:hAnsi="宋体"/>
        </w:rPr>
        <w:t>决定自202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/>
        </w:rPr>
        <w:t>年</w:t>
      </w:r>
      <w:r w:rsidR="00BE32E9">
        <w:rPr>
          <w:rStyle w:val="txtcontent11"/>
          <w:rFonts w:ascii="宋体" w:hAnsi="宋体" w:hint="eastAsia"/>
        </w:rPr>
        <w:t>6</w:t>
      </w:r>
      <w:r>
        <w:rPr>
          <w:rStyle w:val="txtcontent11"/>
          <w:rFonts w:ascii="宋体" w:hAnsi="宋体"/>
        </w:rPr>
        <w:t>月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/>
        </w:rPr>
        <w:t>日起对旗下基金所持有的</w:t>
      </w:r>
      <w:r>
        <w:rPr>
          <w:rStyle w:val="txtcontent11"/>
          <w:rFonts w:ascii="宋体" w:hAnsi="宋体" w:hint="eastAsia"/>
        </w:rPr>
        <w:t>“</w:t>
      </w:r>
      <w:r w:rsidR="00BE32E9">
        <w:rPr>
          <w:rStyle w:val="txtcontent11"/>
          <w:rFonts w:ascii="宋体" w:hAnsi="宋体" w:hint="eastAsia"/>
        </w:rPr>
        <w:t>海光信息</w:t>
      </w:r>
      <w:r>
        <w:rPr>
          <w:rStyle w:val="txtcontent11"/>
          <w:rFonts w:ascii="宋体" w:hAnsi="宋体" w:hint="eastAsia"/>
        </w:rPr>
        <w:t>”</w:t>
      </w:r>
      <w:r>
        <w:rPr>
          <w:rStyle w:val="txtcontent11"/>
          <w:rFonts w:ascii="宋体" w:hAnsi="宋体"/>
        </w:rPr>
        <w:t>（股票代码：</w:t>
      </w:r>
      <w:r>
        <w:rPr>
          <w:rStyle w:val="txtcontent11"/>
          <w:rFonts w:ascii="宋体" w:hAnsi="宋体" w:hint="eastAsia"/>
        </w:rPr>
        <w:t>6</w:t>
      </w:r>
      <w:r w:rsidR="00BE32E9">
        <w:rPr>
          <w:rStyle w:val="txtcontent11"/>
          <w:rFonts w:ascii="宋体" w:hAnsi="宋体" w:hint="eastAsia"/>
        </w:rPr>
        <w:t>88041</w:t>
      </w:r>
      <w:r>
        <w:rPr>
          <w:rStyle w:val="txtcontent11"/>
          <w:rFonts w:ascii="宋体" w:hAnsi="宋体"/>
        </w:rPr>
        <w:t>）采用“指数收益法”予以估值。在</w:t>
      </w:r>
      <w:r>
        <w:rPr>
          <w:rStyle w:val="txtcontent11"/>
          <w:rFonts w:ascii="宋体" w:hAnsi="宋体" w:hint="eastAsia"/>
        </w:rPr>
        <w:t>上述股票</w:t>
      </w:r>
      <w:r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7E19F4" w:rsidRDefault="007E19F4">
      <w:pPr>
        <w:spacing w:line="360" w:lineRule="auto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特此公告!</w:t>
      </w:r>
    </w:p>
    <w:p w:rsidR="007E19F4" w:rsidRDefault="007E19F4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7E19F4" w:rsidRDefault="000B0547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宏利基金管理有限公司</w:t>
      </w:r>
    </w:p>
    <w:p w:rsidR="007E19F4" w:rsidRDefault="000B0547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>202</w:t>
      </w:r>
      <w:r w:rsidR="00BE32E9">
        <w:rPr>
          <w:rStyle w:val="txtcontent11"/>
          <w:rFonts w:ascii="宋体" w:hAnsi="宋体" w:hint="eastAsia"/>
        </w:rPr>
        <w:t>5</w:t>
      </w:r>
      <w:r>
        <w:rPr>
          <w:rStyle w:val="txtcontent11"/>
          <w:rFonts w:ascii="宋体" w:hAnsi="宋体" w:hint="eastAsia"/>
        </w:rPr>
        <w:t>年</w:t>
      </w:r>
      <w:r w:rsidR="00BE32E9">
        <w:rPr>
          <w:rStyle w:val="txtcontent11"/>
          <w:rFonts w:ascii="宋体" w:hAnsi="宋体" w:hint="eastAsia"/>
        </w:rPr>
        <w:t>6</w:t>
      </w:r>
      <w:r>
        <w:rPr>
          <w:rStyle w:val="txtcontent11"/>
          <w:rFonts w:ascii="宋体" w:hAnsi="宋体" w:hint="eastAsia"/>
        </w:rPr>
        <w:t>月</w:t>
      </w:r>
      <w:r w:rsidR="00BE32E9">
        <w:rPr>
          <w:rStyle w:val="txtcontent11"/>
          <w:rFonts w:ascii="宋体" w:hAnsi="宋体" w:hint="eastAsia"/>
        </w:rPr>
        <w:t>6</w:t>
      </w:r>
      <w:r>
        <w:rPr>
          <w:rStyle w:val="txtcontent11"/>
          <w:rFonts w:ascii="宋体" w:hAnsi="宋体" w:hint="eastAsia"/>
        </w:rPr>
        <w:t>日</w:t>
      </w:r>
    </w:p>
    <w:p w:rsidR="007E19F4" w:rsidRDefault="007E19F4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7E19F4" w:rsidSect="00CC3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19F4"/>
    <w:rsid w:val="000B0547"/>
    <w:rsid w:val="003800B0"/>
    <w:rsid w:val="007E19F4"/>
    <w:rsid w:val="00B62460"/>
    <w:rsid w:val="00BE32E9"/>
    <w:rsid w:val="00CC345A"/>
    <w:rsid w:val="00F1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C3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45A"/>
    <w:rPr>
      <w:sz w:val="18"/>
      <w:szCs w:val="18"/>
    </w:rPr>
  </w:style>
  <w:style w:type="paragraph" w:styleId="a4">
    <w:name w:val="footer"/>
    <w:basedOn w:val="a"/>
    <w:link w:val="Char0"/>
    <w:uiPriority w:val="99"/>
    <w:rsid w:val="00CC3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45A"/>
    <w:rPr>
      <w:sz w:val="18"/>
      <w:szCs w:val="18"/>
    </w:rPr>
  </w:style>
  <w:style w:type="character" w:customStyle="1" w:styleId="txtcontent11">
    <w:name w:val="txtcontent11"/>
    <w:basedOn w:val="a0"/>
    <w:rsid w:val="00CC345A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rsid w:val="00CC34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CC345A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rsid w:val="00CC345A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rsid w:val="00CC345A"/>
    <w:rPr>
      <w:kern w:val="2"/>
      <w:sz w:val="21"/>
      <w:szCs w:val="22"/>
    </w:rPr>
  </w:style>
  <w:style w:type="paragraph" w:styleId="a7">
    <w:name w:val="Revision"/>
    <w:hidden/>
    <w:uiPriority w:val="99"/>
    <w:semiHidden/>
    <w:rsid w:val="000B054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Company>LENOVO CUSTOMER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2025-06-05T16:02:00Z</dcterms:created>
  <dcterms:modified xsi:type="dcterms:W3CDTF">2025-06-05T16:02:00Z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0106f5aa46ad4faea6283538888a4014_23</vt:lpwstr>
  </property>
</Properties>
</file>