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87" w:rsidRDefault="009A4A75">
      <w:pPr>
        <w:jc w:val="center"/>
        <w:rPr>
          <w:rFonts w:ascii="仿宋_GB2312" w:eastAsia="仿宋_GB2312"/>
          <w:sz w:val="32"/>
          <w:szCs w:val="32"/>
        </w:rPr>
      </w:pPr>
      <w:r>
        <w:rPr>
          <w:rFonts w:ascii="仿宋_GB2312" w:eastAsia="仿宋_GB2312" w:hint="eastAsia"/>
          <w:b/>
          <w:sz w:val="32"/>
          <w:szCs w:val="32"/>
        </w:rPr>
        <w:t>工银瑞信基金管理有限公司关于旗下部分基金持有的长期停牌股票估值方法调整的公告</w:t>
      </w:r>
      <w:bookmarkStart w:id="0" w:name="_GoBack"/>
      <w:bookmarkEnd w:id="0"/>
    </w:p>
    <w:p w:rsidR="009E7787" w:rsidRDefault="009A4A75">
      <w:pPr>
        <w:autoSpaceDE w:val="0"/>
        <w:autoSpaceDN w:val="0"/>
        <w:adjustRightInd w:val="0"/>
        <w:spacing w:line="240" w:lineRule="atLeast"/>
        <w:ind w:firstLineChars="200" w:firstLine="640"/>
        <w:jc w:val="left"/>
        <w:rPr>
          <w:rFonts w:ascii="仿宋_GB2312" w:eastAsia="仿宋_GB2312"/>
          <w:sz w:val="32"/>
          <w:szCs w:val="32"/>
        </w:rPr>
      </w:pPr>
      <w:r>
        <w:rPr>
          <w:rFonts w:ascii="仿宋_GB2312" w:eastAsia="仿宋_GB2312" w:hint="eastAsia"/>
          <w:sz w:val="32"/>
          <w:szCs w:val="32"/>
        </w:rPr>
        <w:t>根据中国证监会《关于证券投资基金估值业务的指导意见》及《中国证券业协会基金估值工作小组关于停牌股票估值的参考方法》的相关规定，经与基金托管人协商一致，我司决定</w:t>
      </w:r>
      <w:r>
        <w:rPr>
          <w:rFonts w:ascii="仿宋_GB2312" w:eastAsia="仿宋_GB2312" w:hint="eastAsia"/>
          <w:sz w:val="32"/>
          <w:szCs w:val="32"/>
        </w:rPr>
        <w:t>自</w:t>
      </w:r>
      <w:r>
        <w:rPr>
          <w:rFonts w:ascii="仿宋_GB2312" w:eastAsia="仿宋_GB2312" w:hint="eastAsia"/>
          <w:sz w:val="32"/>
          <w:szCs w:val="32"/>
        </w:rPr>
        <w:t>2</w:t>
      </w:r>
      <w:r>
        <w:rPr>
          <w:rFonts w:ascii="仿宋_GB2312" w:eastAsia="仿宋_GB2312"/>
          <w:sz w:val="32"/>
          <w:szCs w:val="32"/>
        </w:rPr>
        <w:t>025</w:t>
      </w:r>
      <w:r>
        <w:rPr>
          <w:rFonts w:ascii="仿宋_GB2312" w:eastAsia="仿宋_GB2312" w:hint="eastAsia"/>
          <w:sz w:val="32"/>
          <w:szCs w:val="32"/>
        </w:rPr>
        <w:t>年</w:t>
      </w:r>
      <w:r>
        <w:rPr>
          <w:rFonts w:ascii="仿宋_GB2312" w:eastAsia="仿宋_GB2312"/>
          <w:sz w:val="32"/>
          <w:szCs w:val="32"/>
        </w:rPr>
        <w:t>6</w:t>
      </w:r>
      <w:r>
        <w:rPr>
          <w:rFonts w:ascii="仿宋_GB2312" w:eastAsia="仿宋_GB2312" w:hint="eastAsia"/>
          <w:sz w:val="32"/>
          <w:szCs w:val="32"/>
        </w:rPr>
        <w:t>月</w:t>
      </w:r>
      <w:r>
        <w:rPr>
          <w:rFonts w:ascii="仿宋_GB2312" w:eastAsia="仿宋_GB2312"/>
          <w:sz w:val="32"/>
          <w:szCs w:val="32"/>
        </w:rPr>
        <w:t>5</w:t>
      </w:r>
      <w:r>
        <w:rPr>
          <w:rFonts w:ascii="仿宋_GB2312" w:eastAsia="仿宋_GB2312" w:hint="eastAsia"/>
          <w:sz w:val="32"/>
          <w:szCs w:val="32"/>
        </w:rPr>
        <w:t>日起，对旗下证券投资基金（</w:t>
      </w:r>
      <w:r>
        <w:rPr>
          <w:rFonts w:ascii="仿宋_GB2312" w:eastAsia="仿宋_GB2312" w:hint="eastAsia"/>
          <w:sz w:val="32"/>
          <w:szCs w:val="32"/>
        </w:rPr>
        <w:t>ETF</w:t>
      </w:r>
      <w:r>
        <w:rPr>
          <w:rFonts w:ascii="仿宋_GB2312" w:eastAsia="仿宋_GB2312" w:hint="eastAsia"/>
          <w:sz w:val="32"/>
          <w:szCs w:val="32"/>
        </w:rPr>
        <w:t>基金除外）持有的长期停牌股票“</w:t>
      </w:r>
      <w:r>
        <w:rPr>
          <w:rFonts w:ascii="仿宋_GB2312" w:eastAsia="仿宋_GB2312"/>
          <w:sz w:val="32"/>
          <w:szCs w:val="32"/>
        </w:rPr>
        <w:t>海光信息</w:t>
      </w:r>
      <w:r>
        <w:rPr>
          <w:rFonts w:ascii="仿宋_GB2312" w:eastAsia="仿宋_GB2312" w:hint="eastAsia"/>
          <w:sz w:val="32"/>
          <w:szCs w:val="32"/>
        </w:rPr>
        <w:t>”（股票代码：</w:t>
      </w:r>
      <w:r>
        <w:rPr>
          <w:rFonts w:ascii="仿宋_GB2312" w:eastAsia="仿宋_GB2312"/>
          <w:sz w:val="32"/>
          <w:szCs w:val="32"/>
        </w:rPr>
        <w:t>688041</w:t>
      </w:r>
      <w:r>
        <w:rPr>
          <w:rFonts w:ascii="仿宋_GB2312" w:eastAsia="仿宋_GB2312" w:hint="eastAsia"/>
          <w:sz w:val="32"/>
          <w:szCs w:val="32"/>
        </w:rPr>
        <w:t>）按指数收益法予以估值；同时</w:t>
      </w:r>
      <w:r>
        <w:rPr>
          <w:rFonts w:ascii="仿宋_GB2312" w:eastAsia="仿宋_GB2312"/>
          <w:sz w:val="32"/>
          <w:szCs w:val="32"/>
        </w:rPr>
        <w:t>，</w:t>
      </w:r>
      <w:r>
        <w:rPr>
          <w:rFonts w:ascii="仿宋_GB2312" w:eastAsia="仿宋_GB2312" w:hint="eastAsia"/>
          <w:sz w:val="32"/>
          <w:szCs w:val="32"/>
        </w:rPr>
        <w:t>对</w:t>
      </w:r>
      <w:r>
        <w:rPr>
          <w:rFonts w:ascii="仿宋_GB2312" w:eastAsia="仿宋_GB2312" w:hint="eastAsia"/>
          <w:sz w:val="32"/>
          <w:szCs w:val="32"/>
        </w:rPr>
        <w:t>ETF</w:t>
      </w:r>
      <w:r>
        <w:rPr>
          <w:rFonts w:ascii="仿宋_GB2312" w:eastAsia="仿宋_GB2312" w:hint="eastAsia"/>
          <w:sz w:val="32"/>
          <w:szCs w:val="32"/>
        </w:rPr>
        <w:t>联接基金持有的标的</w:t>
      </w:r>
      <w:r>
        <w:rPr>
          <w:rFonts w:ascii="仿宋_GB2312" w:eastAsia="仿宋_GB2312" w:hint="eastAsia"/>
          <w:sz w:val="32"/>
          <w:szCs w:val="32"/>
        </w:rPr>
        <w:t>ETF</w:t>
      </w:r>
      <w:r>
        <w:rPr>
          <w:rFonts w:ascii="仿宋_GB2312" w:eastAsia="仿宋_GB2312" w:hint="eastAsia"/>
          <w:sz w:val="32"/>
          <w:szCs w:val="32"/>
        </w:rPr>
        <w:t>，在当日份额净值的基础上考虑上述股票的调整因素进行估值。自其复牌之日起且其交易体现活跃</w:t>
      </w:r>
      <w:r>
        <w:rPr>
          <w:rFonts w:ascii="仿宋_GB2312" w:eastAsia="仿宋_GB2312" w:hint="eastAsia"/>
          <w:sz w:val="32"/>
          <w:szCs w:val="32"/>
        </w:rPr>
        <w:t>市场交易特征后，按市场价格进行估值，届时不再另行公告。</w:t>
      </w:r>
    </w:p>
    <w:p w:rsidR="009E7787" w:rsidRDefault="009A4A75">
      <w:pPr>
        <w:autoSpaceDE w:val="0"/>
        <w:autoSpaceDN w:val="0"/>
        <w:adjustRightInd w:val="0"/>
        <w:spacing w:line="240" w:lineRule="atLeast"/>
        <w:ind w:firstLineChars="200" w:firstLine="640"/>
        <w:jc w:val="left"/>
        <w:rPr>
          <w:rFonts w:ascii="仿宋_GB2312" w:eastAsia="仿宋_GB2312"/>
          <w:sz w:val="32"/>
          <w:szCs w:val="32"/>
        </w:rPr>
      </w:pPr>
      <w:r>
        <w:rPr>
          <w:rFonts w:ascii="仿宋_GB2312" w:eastAsia="仿宋_GB2312"/>
          <w:sz w:val="32"/>
          <w:szCs w:val="32"/>
        </w:rPr>
        <w:t>投资者可通过以下途径咨询有关详情</w:t>
      </w:r>
      <w:r>
        <w:rPr>
          <w:rFonts w:ascii="仿宋_GB2312" w:eastAsia="仿宋_GB2312" w:hint="eastAsia"/>
          <w:sz w:val="32"/>
          <w:szCs w:val="32"/>
        </w:rPr>
        <w:t>：</w:t>
      </w:r>
    </w:p>
    <w:p w:rsidR="009E7787" w:rsidRDefault="009A4A75">
      <w:pPr>
        <w:ind w:firstLineChars="200" w:firstLine="640"/>
        <w:rPr>
          <w:rFonts w:ascii="仿宋_GB2312" w:eastAsia="仿宋_GB2312"/>
          <w:sz w:val="32"/>
          <w:szCs w:val="32"/>
        </w:rPr>
      </w:pPr>
      <w:r>
        <w:rPr>
          <w:rFonts w:ascii="仿宋_GB2312" w:eastAsia="仿宋_GB2312" w:hint="eastAsia"/>
          <w:sz w:val="32"/>
          <w:szCs w:val="32"/>
        </w:rPr>
        <w:t>工银瑞信基金管理有限公司</w:t>
      </w:r>
      <w:r>
        <w:rPr>
          <w:rFonts w:ascii="仿宋_GB2312" w:eastAsia="仿宋_GB2312"/>
          <w:sz w:val="32"/>
          <w:szCs w:val="32"/>
        </w:rPr>
        <w:t>网站：</w:t>
      </w:r>
      <w:r>
        <w:rPr>
          <w:rFonts w:ascii="仿宋_GB2312" w:eastAsia="仿宋_GB2312" w:hint="eastAsia"/>
          <w:sz w:val="32"/>
          <w:szCs w:val="32"/>
        </w:rPr>
        <w:t>www.icbccs.com.cn</w:t>
      </w:r>
    </w:p>
    <w:p w:rsidR="009E7787" w:rsidRDefault="009A4A75">
      <w:pPr>
        <w:ind w:firstLineChars="200" w:firstLine="640"/>
        <w:rPr>
          <w:rFonts w:ascii="仿宋_GB2312" w:eastAsia="仿宋_GB2312"/>
          <w:sz w:val="32"/>
          <w:szCs w:val="32"/>
        </w:rPr>
      </w:pPr>
      <w:r>
        <w:rPr>
          <w:rFonts w:ascii="仿宋_GB2312" w:eastAsia="仿宋_GB2312"/>
          <w:sz w:val="32"/>
          <w:szCs w:val="32"/>
        </w:rPr>
        <w:t>客户服务电话：</w:t>
      </w:r>
      <w:r>
        <w:rPr>
          <w:rFonts w:ascii="仿宋_GB2312" w:eastAsia="仿宋_GB2312" w:hint="eastAsia"/>
          <w:sz w:val="32"/>
          <w:szCs w:val="32"/>
        </w:rPr>
        <w:t>400-811-9999</w:t>
      </w:r>
      <w:r>
        <w:rPr>
          <w:rFonts w:ascii="仿宋_GB2312" w:eastAsia="仿宋_GB2312"/>
          <w:sz w:val="32"/>
          <w:szCs w:val="32"/>
        </w:rPr>
        <w:t xml:space="preserve"> (</w:t>
      </w:r>
      <w:r>
        <w:rPr>
          <w:rFonts w:ascii="仿宋_GB2312" w:eastAsia="仿宋_GB2312"/>
          <w:sz w:val="32"/>
          <w:szCs w:val="32"/>
        </w:rPr>
        <w:t>免长途费</w:t>
      </w:r>
      <w:r>
        <w:rPr>
          <w:rFonts w:ascii="仿宋_GB2312" w:eastAsia="仿宋_GB2312"/>
          <w:sz w:val="32"/>
          <w:szCs w:val="32"/>
        </w:rPr>
        <w:t>)</w:t>
      </w:r>
      <w:r>
        <w:rPr>
          <w:rFonts w:ascii="仿宋_GB2312" w:eastAsia="仿宋_GB2312"/>
          <w:sz w:val="32"/>
          <w:szCs w:val="32"/>
        </w:rPr>
        <w:t> </w:t>
      </w:r>
    </w:p>
    <w:p w:rsidR="009E7787" w:rsidRDefault="009A4A75">
      <w:pPr>
        <w:ind w:firstLineChars="200" w:firstLine="640"/>
        <w:rPr>
          <w:rFonts w:ascii="仿宋_GB2312" w:eastAsia="仿宋_GB2312"/>
          <w:sz w:val="32"/>
          <w:szCs w:val="32"/>
        </w:rPr>
      </w:pPr>
      <w:r>
        <w:rPr>
          <w:rFonts w:ascii="仿宋_GB2312" w:eastAsia="仿宋_GB2312" w:hint="eastAsia"/>
          <w:sz w:val="32"/>
          <w:szCs w:val="32"/>
        </w:rPr>
        <w:t>风险提示：本公司承诺以诚实信用、勤勉尽责的原则管理和运用基金资产，但不保证基金一定盈利，也不保证最低收益。基金的过往业绩并不预示其未来表现。投资者投资于本公司管理的基金时应认真阅读《基金合同》、《招募说明书》、《基金产品资料概要》等法律文件，并注意投资风险。</w:t>
      </w:r>
    </w:p>
    <w:p w:rsidR="009E7787" w:rsidRDefault="009A4A75">
      <w:pPr>
        <w:ind w:firstLine="630"/>
        <w:rPr>
          <w:rFonts w:ascii="仿宋_GB2312" w:eastAsia="仿宋_GB2312"/>
          <w:sz w:val="32"/>
          <w:szCs w:val="32"/>
        </w:rPr>
      </w:pPr>
      <w:r>
        <w:rPr>
          <w:rFonts w:ascii="仿宋_GB2312" w:eastAsia="仿宋_GB2312" w:hint="eastAsia"/>
          <w:sz w:val="32"/>
          <w:szCs w:val="32"/>
        </w:rPr>
        <w:t>特此公告。</w:t>
      </w:r>
    </w:p>
    <w:p w:rsidR="009E7787" w:rsidRDefault="009A4A75">
      <w:pPr>
        <w:ind w:firstLine="630"/>
        <w:jc w:val="right"/>
        <w:rPr>
          <w:rFonts w:ascii="仿宋_GB2312" w:eastAsia="仿宋_GB2312"/>
          <w:sz w:val="32"/>
          <w:szCs w:val="32"/>
        </w:rPr>
      </w:pPr>
      <w:r>
        <w:rPr>
          <w:rFonts w:ascii="仿宋_GB2312" w:eastAsia="仿宋_GB2312" w:hint="eastAsia"/>
          <w:sz w:val="32"/>
          <w:szCs w:val="32"/>
        </w:rPr>
        <w:t>工银瑞信基金管理有限公司</w:t>
      </w:r>
    </w:p>
    <w:p w:rsidR="009E7787" w:rsidRDefault="009A4A75">
      <w:pPr>
        <w:ind w:firstLine="630"/>
        <w:jc w:val="right"/>
        <w:rPr>
          <w:rFonts w:ascii="仿宋_GB2312" w:eastAsia="仿宋_GB2312"/>
          <w:sz w:val="32"/>
          <w:szCs w:val="32"/>
        </w:rPr>
      </w:pPr>
      <w:r>
        <w:rPr>
          <w:rFonts w:ascii="仿宋_GB2312" w:eastAsia="仿宋_GB2312" w:hint="eastAsia"/>
          <w:sz w:val="32"/>
          <w:szCs w:val="32"/>
        </w:rPr>
        <w:t>二</w:t>
      </w:r>
      <w:r>
        <w:rPr>
          <w:rFonts w:ascii="微软雅黑" w:eastAsia="微软雅黑" w:hAnsi="微软雅黑" w:cs="微软雅黑" w:hint="eastAsia"/>
          <w:sz w:val="32"/>
          <w:szCs w:val="32"/>
        </w:rPr>
        <w:t>〇</w:t>
      </w:r>
      <w:r>
        <w:rPr>
          <w:rFonts w:ascii="仿宋_GB2312" w:eastAsia="仿宋_GB2312" w:hint="eastAsia"/>
          <w:sz w:val="32"/>
          <w:szCs w:val="32"/>
        </w:rPr>
        <w:t>二</w:t>
      </w:r>
      <w:r>
        <w:rPr>
          <w:rFonts w:ascii="仿宋_GB2312" w:eastAsia="仿宋_GB2312"/>
          <w:sz w:val="32"/>
          <w:szCs w:val="32"/>
        </w:rPr>
        <w:t>五</w:t>
      </w:r>
      <w:r>
        <w:rPr>
          <w:rFonts w:ascii="仿宋_GB2312" w:eastAsia="仿宋_GB2312" w:hint="eastAsia"/>
          <w:sz w:val="32"/>
          <w:szCs w:val="32"/>
        </w:rPr>
        <w:t>年</w:t>
      </w:r>
      <w:r>
        <w:rPr>
          <w:rFonts w:ascii="仿宋_GB2312" w:eastAsia="仿宋_GB2312"/>
          <w:sz w:val="32"/>
          <w:szCs w:val="32"/>
        </w:rPr>
        <w:t>六</w:t>
      </w:r>
      <w:r>
        <w:rPr>
          <w:rFonts w:ascii="仿宋_GB2312" w:eastAsia="仿宋_GB2312" w:hint="eastAsia"/>
          <w:sz w:val="32"/>
          <w:szCs w:val="32"/>
        </w:rPr>
        <w:t>月</w:t>
      </w:r>
      <w:r>
        <w:rPr>
          <w:rFonts w:ascii="仿宋_GB2312" w:eastAsia="仿宋_GB2312"/>
          <w:sz w:val="32"/>
          <w:szCs w:val="32"/>
        </w:rPr>
        <w:t>六</w:t>
      </w:r>
      <w:r>
        <w:rPr>
          <w:rFonts w:ascii="仿宋_GB2312" w:eastAsia="仿宋_GB2312" w:hint="eastAsia"/>
          <w:sz w:val="32"/>
          <w:szCs w:val="32"/>
        </w:rPr>
        <w:t>日</w:t>
      </w:r>
    </w:p>
    <w:sectPr w:rsidR="009E7787" w:rsidSect="009E778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charset w:val="86"/>
    <w:family w:val="auto"/>
    <w:pitch w:val="default"/>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3F7656"/>
    <w:rsid w:val="A7572BE5"/>
    <w:rsid w:val="DFC5B0F1"/>
    <w:rsid w:val="F3EF77C5"/>
    <w:rsid w:val="00240FC2"/>
    <w:rsid w:val="003F7656"/>
    <w:rsid w:val="00501D78"/>
    <w:rsid w:val="008810F0"/>
    <w:rsid w:val="009A4A75"/>
    <w:rsid w:val="009E7787"/>
    <w:rsid w:val="00A40E0C"/>
    <w:rsid w:val="00D42DFB"/>
    <w:rsid w:val="00DA5D5B"/>
    <w:rsid w:val="00E3662F"/>
    <w:rsid w:val="48782820"/>
    <w:rsid w:val="5FFD6743"/>
    <w:rsid w:val="7BDF3FDD"/>
    <w:rsid w:val="7F76CB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7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9E7787"/>
    <w:pPr>
      <w:jc w:val="left"/>
    </w:pPr>
  </w:style>
  <w:style w:type="paragraph" w:styleId="a4">
    <w:name w:val="Balloon Text"/>
    <w:basedOn w:val="a"/>
    <w:link w:val="Char0"/>
    <w:uiPriority w:val="99"/>
    <w:semiHidden/>
    <w:unhideWhenUsed/>
    <w:rsid w:val="009E7787"/>
    <w:rPr>
      <w:sz w:val="18"/>
      <w:szCs w:val="18"/>
    </w:rPr>
  </w:style>
  <w:style w:type="paragraph" w:styleId="a5">
    <w:name w:val="footer"/>
    <w:basedOn w:val="a"/>
    <w:link w:val="Char1"/>
    <w:uiPriority w:val="99"/>
    <w:unhideWhenUsed/>
    <w:rsid w:val="009E7787"/>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rsid w:val="009E77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qFormat/>
    <w:rsid w:val="009E7787"/>
    <w:rPr>
      <w:b/>
      <w:bCs/>
    </w:rPr>
  </w:style>
  <w:style w:type="character" w:styleId="a8">
    <w:name w:val="annotation reference"/>
    <w:basedOn w:val="a0"/>
    <w:uiPriority w:val="99"/>
    <w:semiHidden/>
    <w:unhideWhenUsed/>
    <w:rsid w:val="009E7787"/>
    <w:rPr>
      <w:sz w:val="21"/>
      <w:szCs w:val="21"/>
    </w:rPr>
  </w:style>
  <w:style w:type="character" w:customStyle="1" w:styleId="Char2">
    <w:name w:val="页眉 Char"/>
    <w:basedOn w:val="a0"/>
    <w:link w:val="a6"/>
    <w:uiPriority w:val="99"/>
    <w:qFormat/>
    <w:rsid w:val="009E7787"/>
    <w:rPr>
      <w:sz w:val="18"/>
      <w:szCs w:val="18"/>
    </w:rPr>
  </w:style>
  <w:style w:type="character" w:customStyle="1" w:styleId="Char1">
    <w:name w:val="页脚 Char"/>
    <w:basedOn w:val="a0"/>
    <w:link w:val="a5"/>
    <w:uiPriority w:val="99"/>
    <w:qFormat/>
    <w:rsid w:val="009E7787"/>
    <w:rPr>
      <w:sz w:val="18"/>
      <w:szCs w:val="18"/>
    </w:rPr>
  </w:style>
  <w:style w:type="character" w:customStyle="1" w:styleId="Char">
    <w:name w:val="批注文字 Char"/>
    <w:basedOn w:val="a0"/>
    <w:link w:val="a3"/>
    <w:uiPriority w:val="99"/>
    <w:semiHidden/>
    <w:qFormat/>
    <w:rsid w:val="009E7787"/>
    <w:rPr>
      <w:rFonts w:ascii="Times New Roman" w:eastAsia="宋体" w:hAnsi="Times New Roman" w:cs="Times New Roman"/>
      <w:szCs w:val="24"/>
    </w:rPr>
  </w:style>
  <w:style w:type="character" w:customStyle="1" w:styleId="Char3">
    <w:name w:val="批注主题 Char"/>
    <w:basedOn w:val="Char"/>
    <w:link w:val="a7"/>
    <w:uiPriority w:val="99"/>
    <w:semiHidden/>
    <w:rsid w:val="009E7787"/>
    <w:rPr>
      <w:rFonts w:ascii="Times New Roman" w:eastAsia="宋体" w:hAnsi="Times New Roman" w:cs="Times New Roman"/>
      <w:b/>
      <w:bCs/>
      <w:szCs w:val="24"/>
    </w:rPr>
  </w:style>
  <w:style w:type="character" w:customStyle="1" w:styleId="Char0">
    <w:name w:val="批注框文本 Char"/>
    <w:basedOn w:val="a0"/>
    <w:link w:val="a4"/>
    <w:uiPriority w:val="99"/>
    <w:semiHidden/>
    <w:rsid w:val="009E778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4</DocSecurity>
  <Lines>3</Lines>
  <Paragraphs>1</Paragraphs>
  <ScaleCrop>false</ScaleCrop>
  <Company>CNSTOCK</Company>
  <LinksUpToDate>false</LinksUpToDate>
  <CharactersWithSpaces>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曹莎</dc:creator>
  <cp:lastModifiedBy>ZHONGM</cp:lastModifiedBy>
  <cp:revision>2</cp:revision>
  <cp:lastPrinted>2020-11-06T01:32:00Z</cp:lastPrinted>
  <dcterms:created xsi:type="dcterms:W3CDTF">2025-06-05T16:02:00Z</dcterms:created>
  <dcterms:modified xsi:type="dcterms:W3CDTF">2025-06-05T16:02:00Z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A5C5ABA6BB724ECF9CBC91B6A898F10C</vt:lpwstr>
  </property>
</Properties>
</file>